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270" w:lineRule="atLeast"/>
        <w:ind w:left="0" w:right="-153"/>
        <w:rPr>
          <w:rStyle w:val="6"/>
          <w:rFonts w:hint="eastAsia" w:ascii="Times New Roman" w:hAnsi="Times New Roman" w:cs="Times New Roman"/>
          <w:i w:val="0"/>
          <w:caps w:val="0"/>
          <w:color w:val="auto"/>
          <w:spacing w:val="0"/>
          <w:sz w:val="21"/>
          <w:szCs w:val="21"/>
          <w:shd w:val="clear" w:fill="FFFFFF"/>
          <w:lang w:eastAsia="zh-CN"/>
        </w:rPr>
      </w:pPr>
      <w:r>
        <w:rPr>
          <w:rStyle w:val="6"/>
          <w:rFonts w:hint="eastAsia" w:ascii="Times New Roman" w:hAnsi="Times New Roman" w:cs="Times New Roman"/>
          <w:i w:val="0"/>
          <w:caps w:val="0"/>
          <w:color w:val="auto"/>
          <w:spacing w:val="0"/>
          <w:sz w:val="21"/>
          <w:szCs w:val="21"/>
          <w:shd w:val="clear" w:fill="FFFFFF"/>
          <w:lang w:eastAsia="zh-CN"/>
        </w:rPr>
        <w:t>论文</w:t>
      </w:r>
      <w:r>
        <w:rPr>
          <w:rStyle w:val="6"/>
          <w:rFonts w:hint="default" w:ascii="Times New Roman" w:hAnsi="Times New Roman" w:cs="Times New Roman" w:eastAsiaTheme="minorEastAsia"/>
          <w:i w:val="0"/>
          <w:caps w:val="0"/>
          <w:color w:val="auto"/>
          <w:spacing w:val="0"/>
          <w:sz w:val="21"/>
          <w:szCs w:val="21"/>
          <w:shd w:val="clear" w:fill="FFFFFF"/>
        </w:rPr>
        <w:t>书写顺序: 中文题目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中文作者</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中文作者单位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中文摘要</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中文关键词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中图法分类号</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引言</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正文</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讨论</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结论</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致谢</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参考文献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英文题目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英文作者</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英文作者单位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英文摘要</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英文关键词</w:t>
      </w:r>
      <w:r>
        <w:rPr>
          <w:rStyle w:val="6"/>
          <w:rFonts w:hint="eastAsia" w:ascii="Times New Roman" w:hAnsi="Times New Roman" w:cs="Times New Roman"/>
          <w:i w:val="0"/>
          <w:caps w:val="0"/>
          <w:color w:val="auto"/>
          <w:spacing w:val="0"/>
          <w:sz w:val="21"/>
          <w:szCs w:val="21"/>
          <w:shd w:val="clear" w:fill="FFFFFF"/>
          <w:lang w:eastAsia="zh-CN"/>
        </w:rPr>
        <w:t>。</w:t>
      </w:r>
    </w:p>
    <w:p>
      <w:pPr>
        <w:pStyle w:val="3"/>
        <w:keepNext w:val="0"/>
        <w:keepLines w:val="0"/>
        <w:widowControl/>
        <w:suppressLineNumbers w:val="0"/>
        <w:spacing w:before="0" w:beforeAutospacing="0" w:after="0" w:afterAutospacing="0" w:line="270" w:lineRule="atLeast"/>
        <w:ind w:left="0" w:right="-153"/>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suppressLineNumbers w:val="0"/>
        <w:spacing w:before="0" w:beforeAutospacing="0" w:after="0" w:afterAutospacing="0" w:line="270" w:lineRule="atLeast"/>
        <w:ind w:left="0" w:right="-153"/>
        <w:rPr>
          <w:rFonts w:hint="default" w:ascii="Times New Roman" w:hAnsi="Times New Roman" w:cs="Times New Roman" w:eastAsiaTheme="minorEastAsia"/>
          <w:sz w:val="22"/>
          <w:szCs w:val="22"/>
        </w:rPr>
      </w:pPr>
      <w:r>
        <w:rPr>
          <w:rStyle w:val="6"/>
          <w:rFonts w:hint="default" w:ascii="Times New Roman" w:hAnsi="Times New Roman" w:cs="Times New Roman" w:eastAsiaTheme="minorEastAsia"/>
          <w:i w:val="0"/>
          <w:caps w:val="0"/>
          <w:color w:val="FF0000"/>
          <w:spacing w:val="0"/>
          <w:sz w:val="18"/>
          <w:szCs w:val="18"/>
          <w:shd w:val="clear" w:fill="FFFFFF"/>
        </w:rPr>
        <w:t>标题行：</w:t>
      </w:r>
      <w:r>
        <w:rPr>
          <w:rStyle w:val="6"/>
          <w:rFonts w:hint="default" w:ascii="Times New Roman" w:hAnsi="Times New Roman" w:cs="Times New Roman" w:eastAsiaTheme="minorEastAsia"/>
          <w:b w:val="0"/>
          <w:i w:val="0"/>
          <w:caps w:val="0"/>
          <w:color w:val="000000"/>
          <w:spacing w:val="0"/>
          <w:sz w:val="28"/>
          <w:szCs w:val="28"/>
          <w:shd w:val="clear" w:fill="FFFFFF"/>
        </w:rPr>
        <w:t>东天山牛毛泉钒钛磁铁矿矿床单斜辉石成分及其地质意义</w:t>
      </w:r>
    </w:p>
    <w:p>
      <w:pPr>
        <w:pStyle w:val="3"/>
        <w:keepNext w:val="0"/>
        <w:keepLines w:val="0"/>
        <w:widowControl/>
        <w:suppressLineNumbers w:val="0"/>
        <w:spacing w:before="0" w:beforeAutospacing="0" w:after="0" w:afterAutospacing="0" w:line="270" w:lineRule="atLeast"/>
        <w:ind w:left="0" w:right="-153"/>
        <w:rPr>
          <w:rFonts w:hint="default" w:ascii="Times New Roman" w:hAnsi="Times New Roman" w:cs="Times New Roman" w:eastAsiaTheme="minorEastAsia"/>
          <w:b/>
          <w:bCs/>
          <w:color w:val="FF0000"/>
        </w:rPr>
      </w:pPr>
      <w:r>
        <w:rPr>
          <w:rFonts w:hint="default" w:ascii="Times New Roman" w:hAnsi="Times New Roman" w:cs="Times New Roman" w:eastAsiaTheme="minorEastAsia"/>
          <w:b/>
          <w:bCs/>
          <w:i w:val="0"/>
          <w:caps w:val="0"/>
          <w:color w:val="FF0000"/>
          <w:spacing w:val="0"/>
          <w:sz w:val="18"/>
          <w:szCs w:val="18"/>
          <w:shd w:val="clear" w:fill="FFFFFF"/>
        </w:rPr>
        <w:t>（标题应包括文章的主要关键词，一般不超过2</w:t>
      </w:r>
      <w:r>
        <w:rPr>
          <w:rFonts w:hint="eastAsia" w:ascii="Times New Roman" w:hAnsi="Times New Roman" w:cs="Times New Roman"/>
          <w:b/>
          <w:bCs/>
          <w:i w:val="0"/>
          <w:caps w:val="0"/>
          <w:color w:val="FF0000"/>
          <w:spacing w:val="0"/>
          <w:sz w:val="18"/>
          <w:szCs w:val="18"/>
          <w:shd w:val="clear" w:fill="FFFFFF"/>
          <w:lang w:val="en-US" w:eastAsia="zh-CN"/>
        </w:rPr>
        <w:t>5</w:t>
      </w:r>
      <w:r>
        <w:rPr>
          <w:rFonts w:hint="default" w:ascii="Times New Roman" w:hAnsi="Times New Roman" w:cs="Times New Roman" w:eastAsiaTheme="minorEastAsia"/>
          <w:b/>
          <w:bCs/>
          <w:i w:val="0"/>
          <w:caps w:val="0"/>
          <w:color w:val="FF0000"/>
          <w:spacing w:val="0"/>
          <w:sz w:val="18"/>
          <w:szCs w:val="18"/>
          <w:shd w:val="clear" w:fill="FFFFFF"/>
        </w:rPr>
        <w:t>个字）</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作者行：</w:t>
      </w:r>
      <w:r>
        <w:rPr>
          <w:rFonts w:hint="default" w:ascii="Times New Roman" w:hAnsi="Times New Roman" w:cs="Times New Roman" w:eastAsiaTheme="minorEastAsia"/>
          <w:b/>
          <w:bCs/>
          <w:i w:val="0"/>
          <w:caps w:val="0"/>
          <w:color w:val="993366"/>
          <w:spacing w:val="0"/>
          <w:kern w:val="0"/>
          <w:sz w:val="18"/>
          <w:szCs w:val="18"/>
          <w:shd w:val="clear" w:fill="FFFFFF"/>
          <w:lang w:val="en-US" w:eastAsia="zh-CN" w:bidi="ar"/>
        </w:rPr>
        <w:t> </w:t>
      </w:r>
      <w:r>
        <w:rPr>
          <w:rFonts w:hint="default" w:ascii="Times New Roman" w:hAnsi="Times New Roman" w:cs="Times New Roman" w:eastAsiaTheme="minorEastAsia"/>
          <w:i w:val="0"/>
          <w:caps w:val="0"/>
          <w:color w:val="993366"/>
          <w:spacing w:val="0"/>
          <w:kern w:val="0"/>
          <w:sz w:val="18"/>
          <w:szCs w:val="18"/>
          <w:shd w:val="clear" w:fill="FFFFFF"/>
          <w:lang w:val="en-US" w:eastAsia="zh-CN" w:bidi="ar"/>
        </w:rPr>
        <w:t>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石煜</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1,2</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,王玉往</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,王京彬</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,李德东</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,周国超</w:t>
      </w:r>
      <w:r>
        <w:rPr>
          <w:rFonts w:hint="eastAsia" w:ascii="Times New Roman" w:hAnsi="Times New Roman" w:cs="Times New Roman"/>
          <w:i w:val="0"/>
          <w:caps w:val="0"/>
          <w:color w:val="000000"/>
          <w:spacing w:val="0"/>
          <w:kern w:val="0"/>
          <w:sz w:val="18"/>
          <w:szCs w:val="18"/>
          <w:shd w:val="clear" w:fill="FFFFFF"/>
          <w:vertAlign w:val="superscript"/>
          <w:lang w:val="en-US" w:eastAsia="zh-CN" w:bidi="ar"/>
        </w:rPr>
        <w:t>2</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,龙灵利</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,解洪晶</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xml:space="preserve"> </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 </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i w:val="0"/>
          <w:caps w:val="0"/>
          <w:color w:val="auto"/>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单位行：</w:t>
      </w:r>
      <w:r>
        <w:rPr>
          <w:rFonts w:hint="default" w:ascii="Times New Roman" w:hAnsi="Times New Roman" w:cs="Times New Roman" w:eastAsiaTheme="minorEastAsia"/>
          <w:i w:val="0"/>
          <w:caps w:val="0"/>
          <w:color w:val="auto"/>
          <w:spacing w:val="0"/>
          <w:kern w:val="0"/>
          <w:sz w:val="18"/>
          <w:szCs w:val="18"/>
          <w:shd w:val="clear" w:fill="FFFFFF"/>
          <w:lang w:val="en-US" w:eastAsia="zh-CN" w:bidi="ar"/>
        </w:rPr>
        <w:t>  ( 1. 北京矿产地质研究院，北京100012; 2. 中国地质大学( 北京) 地球科学与资源学院100083)</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sz w:val="18"/>
          <w:szCs w:val="18"/>
        </w:rPr>
      </w:pPr>
      <w:r>
        <w:rPr>
          <w:rFonts w:hint="eastAsia" w:ascii="Times New Roman" w:hAnsi="Times New Roman" w:cs="Times New Roman"/>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摘要以提供文章内容梗概为目的，不加评论和补充解释，并拥有与文章同等量的主要信息。</w:t>
      </w:r>
      <w:r>
        <w:rPr>
          <w:rFonts w:hint="eastAsia" w:ascii="Times New Roman" w:hAnsi="Times New Roman" w:cs="Times New Roman"/>
          <w:b/>
          <w:bCs/>
          <w:i w:val="0"/>
          <w:caps w:val="0"/>
          <w:color w:val="FF0000"/>
          <w:spacing w:val="0"/>
          <w:kern w:val="0"/>
          <w:sz w:val="18"/>
          <w:szCs w:val="18"/>
          <w:shd w:val="clear" w:fill="FFFFFF"/>
          <w:lang w:val="en-US" w:eastAsia="zh-CN" w:bidi="ar"/>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摘 要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应完整的概括出文章的</w:t>
      </w:r>
      <w:r>
        <w:rPr>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目的、方法、结论及</w:t>
      </w:r>
      <w:r>
        <w:rPr>
          <w:rFonts w:hint="eastAsia" w:ascii="Times New Roman" w:hAnsi="Times New Roman" w:cs="Times New Roman"/>
          <w:i w:val="0"/>
          <w:caps w:val="0"/>
          <w:color w:val="000000"/>
          <w:spacing w:val="0"/>
          <w:kern w:val="0"/>
          <w:sz w:val="20"/>
          <w:szCs w:val="20"/>
          <w:u w:val="single"/>
          <w:shd w:val="clear" w:fill="FFFFFF"/>
          <w:lang w:val="en-US" w:eastAsia="zh-CN" w:bidi="ar"/>
        </w:rPr>
        <w:t>意义</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四要素</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）；要求简洁、独立、具体，方便收录。</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简洁</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：指排除常识内容，避免重复题目。</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独立</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：不得引用文中参考文献号、图号和公式号；</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具体</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：尽量用具体数字来说明该项工作取得的进展或成效，例如某项性能指标提高了百分之多少，避免“效果很好”这类的含糊其辞。</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便于收录</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这是指摘要、题目中避免包含公式、上下标等，以方便国内外文摘和题录数据库收录文本数据。摘要常常会通过各二次文献（如文摘型数据库、文摘期刊）提供给读者，高质量的摘要有利于文摘被国际权威数据库收录，有利于引起同行的关注和引用。</w:t>
      </w:r>
      <w:r>
        <w:rPr>
          <w:rFonts w:hint="default" w:ascii="Times New Roman" w:hAnsi="Times New Roman" w:cs="Times New Roman" w:eastAsiaTheme="minorEastAsia"/>
          <w:b/>
          <w:bCs/>
          <w:i w:val="0"/>
          <w:caps w:val="0"/>
          <w:color w:val="FF0000"/>
          <w:spacing w:val="0"/>
          <w:kern w:val="0"/>
          <w:sz w:val="20"/>
          <w:szCs w:val="20"/>
          <w:shd w:val="clear" w:fill="FFFFFF"/>
          <w:lang w:val="en-US" w:eastAsia="zh-CN" w:bidi="ar"/>
        </w:rPr>
        <w:t>一般要求200~300字左右</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，请仔细推敲修改，要简明扼要，文从字顺。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关键词 </w:t>
      </w:r>
      <w:r>
        <w:rPr>
          <w:rStyle w:val="6"/>
          <w:rFonts w:hint="eastAsia" w:ascii="Times New Roman" w:hAnsi="Times New Roman" w:cs="Times New Roman"/>
          <w:i w:val="0"/>
          <w:caps w:val="0"/>
          <w:color w:val="000000"/>
          <w:spacing w:val="0"/>
          <w:kern w:val="0"/>
          <w:sz w:val="20"/>
          <w:szCs w:val="20"/>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关键词1</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关键词4</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关键词5……</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sz w:val="18"/>
          <w:szCs w:val="18"/>
          <w:lang w:val="en-US"/>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 </w:t>
      </w:r>
      <w:r>
        <w:rPr>
          <w:rFonts w:hint="eastAsia" w:ascii="Times New Roman" w:hAnsi="Times New Roman" w:cs="Times New Roman"/>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关键词 是论文的文献检索标识，是反映论文主题概念的词或词组，一般要求3～</w:t>
      </w:r>
      <w:r>
        <w:rPr>
          <w:rFonts w:hint="eastAsia" w:ascii="Times New Roman" w:hAnsi="Times New Roman" w:cs="Times New Roman"/>
          <w:b/>
          <w:bCs/>
          <w:i w:val="0"/>
          <w:caps w:val="0"/>
          <w:color w:val="FF0000"/>
          <w:spacing w:val="0"/>
          <w:kern w:val="0"/>
          <w:sz w:val="18"/>
          <w:szCs w:val="18"/>
          <w:shd w:val="clear" w:fill="FFFFFF"/>
          <w:lang w:val="en-US" w:eastAsia="zh-CN" w:bidi="ar"/>
        </w:rPr>
        <w:t>8</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个，请认真填写。</w:t>
      </w:r>
      <w:r>
        <w:rPr>
          <w:rFonts w:hint="eastAsia" w:ascii="Times New Roman" w:hAnsi="Times New Roman" w:cs="Times New Roman"/>
          <w:b/>
          <w:bCs/>
          <w:i w:val="0"/>
          <w:caps w:val="0"/>
          <w:color w:val="FF0000"/>
          <w:spacing w:val="0"/>
          <w:kern w:val="0"/>
          <w:sz w:val="18"/>
          <w:szCs w:val="18"/>
          <w:shd w:val="clear" w:fill="FFFFFF"/>
          <w:lang w:val="en-US" w:eastAsia="zh-CN" w:bidi="ar"/>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中图分类号:</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eastAsia" w:ascii="Times New Roman" w:hAnsi="Times New Roman" w:cs="Times New Roman"/>
          <w:b/>
          <w:bCs/>
          <w:i w:val="0"/>
          <w:caps w:val="0"/>
          <w:color w:val="FF0000"/>
          <w:spacing w:val="0"/>
          <w:kern w:val="0"/>
          <w:sz w:val="18"/>
          <w:szCs w:val="18"/>
          <w:shd w:val="clear" w:fill="FFFFFF"/>
          <w:lang w:val="en-US" w:eastAsia="zh-CN" w:bidi="ar"/>
        </w:rPr>
        <w:t>必填</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w:t>
      </w:r>
      <w:r>
        <w:rPr>
          <w:rFonts w:hint="eastAsia" w:ascii="Times New Roman" w:hAnsi="Times New Roman" w:cs="Times New Roman"/>
          <w:i w:val="0"/>
          <w:caps w:val="0"/>
          <w:color w:val="000000"/>
          <w:spacing w:val="0"/>
          <w:kern w:val="0"/>
          <w:sz w:val="18"/>
          <w:szCs w:val="18"/>
          <w:shd w:val="clear" w:fill="FFFFFF"/>
          <w:lang w:val="en-US" w:eastAsia="zh-CN" w:bidi="ar"/>
        </w:rPr>
        <w:t>自行查阅</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https://www.clcindex.com/） 文献标识码: A</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xml:space="preserve"> 文章编号:</w:t>
      </w:r>
      <w:r>
        <w:rPr>
          <w:rFonts w:hint="default" w:ascii="Times New Roman" w:hAnsi="Times New Roman" w:cs="Times New Roman" w:eastAsiaTheme="minorEastAsia"/>
          <w:b/>
          <w:bCs/>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（编辑在定稿时给出）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首页脚注处给出以下内容：</w:t>
      </w:r>
      <w:r>
        <w:rPr>
          <w:rStyle w:val="6"/>
          <w:rFonts w:hint="eastAsia" w:ascii="Times New Roman" w:hAnsi="Times New Roman" w:cs="Times New Roman"/>
          <w:i w:val="0"/>
          <w:caps w:val="0"/>
          <w:color w:val="FF0000"/>
          <w:spacing w:val="0"/>
          <w:kern w:val="0"/>
          <w:sz w:val="18"/>
          <w:szCs w:val="18"/>
          <w:shd w:val="clear" w:fill="FFFFFF"/>
          <w:lang w:val="en-US" w:eastAsia="zh-CN" w:bidi="ar"/>
        </w:rPr>
        <w:t>1. 收稿日期：（即投稿日期）2.</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 基金项目及批准号；</w:t>
      </w:r>
      <w:r>
        <w:rPr>
          <w:rStyle w:val="6"/>
          <w:rFonts w:hint="eastAsia" w:ascii="Times New Roman" w:hAnsi="Times New Roman" w:cs="Times New Roman"/>
          <w:i w:val="0"/>
          <w:caps w:val="0"/>
          <w:color w:val="FF0000"/>
          <w:spacing w:val="0"/>
          <w:kern w:val="0"/>
          <w:sz w:val="18"/>
          <w:szCs w:val="18"/>
          <w:shd w:val="clear" w:fill="FFFFFF"/>
          <w:lang w:val="en-US" w:eastAsia="zh-CN" w:bidi="ar"/>
        </w:rPr>
        <w:t>3.</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 作者简介（第一作者和通</w:t>
      </w:r>
      <w:r>
        <w:rPr>
          <w:rStyle w:val="6"/>
          <w:rFonts w:hint="eastAsia" w:ascii="Times New Roman" w:hAnsi="Times New Roman" w:cs="Times New Roman"/>
          <w:i w:val="0"/>
          <w:caps w:val="0"/>
          <w:color w:val="FF0000"/>
          <w:spacing w:val="0"/>
          <w:kern w:val="0"/>
          <w:sz w:val="18"/>
          <w:szCs w:val="18"/>
          <w:shd w:val="clear" w:fill="FFFFFF"/>
          <w:lang w:val="en-US" w:eastAsia="zh-CN" w:bidi="ar"/>
        </w:rPr>
        <w:t>信</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作者）：包括姓名，性别，出生年份，所获学位，职称，从事的主要工作及E-mail。</w:t>
      </w:r>
      <w:r>
        <w:rPr>
          <w:rStyle w:val="6"/>
          <w:rFonts w:hint="eastAsia" w:ascii="Times New Roman" w:hAnsi="Times New Roman" w:cs="Times New Roman"/>
          <w:i w:val="0"/>
          <w:caps w:val="0"/>
          <w:color w:val="FF0000"/>
          <w:spacing w:val="0"/>
          <w:kern w:val="0"/>
          <w:sz w:val="18"/>
          <w:szCs w:val="18"/>
          <w:shd w:val="clear" w:fill="FFFFFF"/>
          <w:lang w:val="en-US" w:eastAsia="zh-CN" w:bidi="ar"/>
        </w:rPr>
        <w:t>书写格式例如：</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［收稿日期］2018</w:t>
      </w:r>
      <w:r>
        <w:rPr>
          <w:rStyle w:val="6"/>
          <w:rFonts w:hint="eastAsia" w:ascii="Times New Roman" w:hAnsi="Times New Roman" w:cs="Times New Roman"/>
          <w:b w:val="0"/>
          <w:bCs/>
          <w:i w:val="0"/>
          <w:caps w:val="0"/>
          <w:color w:val="auto"/>
          <w:spacing w:val="0"/>
          <w:kern w:val="0"/>
          <w:sz w:val="18"/>
          <w:szCs w:val="18"/>
          <w:shd w:val="clear" w:fill="FFFFFF"/>
          <w:lang w:val="en-US" w:eastAsia="zh-CN" w:bidi="ar"/>
        </w:rPr>
        <w:t>-</w:t>
      </w: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07</w:t>
      </w:r>
      <w:r>
        <w:rPr>
          <w:rStyle w:val="6"/>
          <w:rFonts w:hint="eastAsia" w:ascii="Times New Roman" w:hAnsi="Times New Roman" w:cs="Times New Roman"/>
          <w:b w:val="0"/>
          <w:bCs/>
          <w:i w:val="0"/>
          <w:caps w:val="0"/>
          <w:color w:val="auto"/>
          <w:spacing w:val="0"/>
          <w:kern w:val="0"/>
          <w:sz w:val="18"/>
          <w:szCs w:val="18"/>
          <w:shd w:val="clear" w:fill="FFFFFF"/>
          <w:lang w:val="en-US" w:eastAsia="zh-CN" w:bidi="ar"/>
        </w:rPr>
        <w:t>-</w:t>
      </w: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15</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［基金项目］国家重点研发计划( 编号: 2017YFC0601204) 资助。</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 xml:space="preserve">［第一作者简介］石煜，男，1986 年生，在读博士，从事岩浆矿床成岩－成矿作用研究工作; E－mail: orounaxiong@ sina. com。  </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jc w:val="left"/>
        <w:textAlignment w:val="auto"/>
        <w:rPr>
          <w:rFonts w:hint="eastAsia" w:ascii="Times New Roman" w:hAnsi="Times New Roman" w:cs="Times New Roman" w:eastAsiaTheme="minorEastAsia"/>
          <w:b/>
          <w:bCs/>
          <w:i w:val="0"/>
          <w:caps w:val="0"/>
          <w:color w:val="000000"/>
          <w:spacing w:val="0"/>
          <w:sz w:val="24"/>
          <w:szCs w:val="24"/>
          <w:shd w:val="clear" w:fill="FFFFFF"/>
          <w:lang w:val="en-US" w:eastAsia="zh-CN"/>
        </w:rPr>
      </w:pPr>
      <w:r>
        <w:rPr>
          <w:rFonts w:hint="default" w:ascii="Times New Roman" w:hAnsi="Times New Roman" w:cs="Times New Roman" w:eastAsiaTheme="minorEastAsia"/>
          <w:b/>
          <w:bCs/>
          <w:i w:val="0"/>
          <w:caps w:val="0"/>
          <w:color w:val="000000"/>
          <w:spacing w:val="0"/>
          <w:sz w:val="24"/>
          <w:szCs w:val="24"/>
          <w:shd w:val="clear" w:fill="FFFFFF"/>
          <w:lang w:val="en-US" w:eastAsia="zh-CN"/>
        </w:rPr>
        <w:t>文章标题结构层次一般分为二级或三级，各级标题</w:t>
      </w:r>
      <w:r>
        <w:rPr>
          <w:rFonts w:hint="eastAsia" w:ascii="Times New Roman" w:hAnsi="Times New Roman" w:cs="Times New Roman" w:eastAsiaTheme="minorEastAsia"/>
          <w:b/>
          <w:bCs/>
          <w:i w:val="0"/>
          <w:caps w:val="0"/>
          <w:color w:val="000000"/>
          <w:spacing w:val="0"/>
          <w:sz w:val="24"/>
          <w:szCs w:val="24"/>
          <w:shd w:val="clear" w:fill="FFFFFF"/>
          <w:lang w:val="en-US" w:eastAsia="zh-CN"/>
        </w:rPr>
        <w:t>示例如下所示</w:t>
      </w:r>
      <w:r>
        <w:rPr>
          <w:rFonts w:hint="eastAsia" w:ascii="Times New Roman" w:hAnsi="Times New Roman" w:cs="Times New Roman"/>
          <w:b/>
          <w:bCs/>
          <w:i w:val="0"/>
          <w:caps w:val="0"/>
          <w:color w:val="000000"/>
          <w:spacing w:val="0"/>
          <w:sz w:val="24"/>
          <w:szCs w:val="24"/>
          <w:shd w:val="clear" w:fill="FFFFFF"/>
          <w:lang w:val="en-US" w:eastAsia="zh-CN"/>
        </w:rPr>
        <w:t>（</w:t>
      </w:r>
      <w:r>
        <w:rPr>
          <w:rFonts w:hint="eastAsia" w:ascii="Times New Roman" w:hAnsi="Times New Roman" w:cs="Times New Roman" w:eastAsiaTheme="minorEastAsia"/>
          <w:b/>
          <w:bCs/>
          <w:i w:val="0"/>
          <w:caps w:val="0"/>
          <w:color w:val="000000"/>
          <w:spacing w:val="0"/>
          <w:sz w:val="24"/>
          <w:szCs w:val="24"/>
          <w:shd w:val="clear" w:fill="FFFFFF"/>
          <w:lang w:val="en-US" w:eastAsia="zh-CN"/>
        </w:rPr>
        <w:t>顶格书写</w:t>
      </w:r>
      <w:r>
        <w:rPr>
          <w:rFonts w:hint="eastAsia" w:ascii="Times New Roman" w:hAnsi="Times New Roman" w:cs="Times New Roman"/>
          <w:b/>
          <w:bCs/>
          <w:i w:val="0"/>
          <w:caps w:val="0"/>
          <w:color w:val="000000"/>
          <w:spacing w:val="0"/>
          <w:sz w:val="24"/>
          <w:szCs w:val="24"/>
          <w:shd w:val="clear" w:fill="FFFFFF"/>
          <w:lang w:val="en-US" w:eastAsia="zh-CN"/>
        </w:rPr>
        <w:t>）</w:t>
      </w:r>
      <w:r>
        <w:rPr>
          <w:rFonts w:hint="eastAsia" w:ascii="Times New Roman" w:hAnsi="Times New Roman" w:cs="Times New Roman" w:eastAsiaTheme="minorEastAsia"/>
          <w:b/>
          <w:bCs/>
          <w:i w:val="0"/>
          <w:caps w:val="0"/>
          <w:color w:val="000000"/>
          <w:spacing w:val="0"/>
          <w:sz w:val="24"/>
          <w:szCs w:val="24"/>
          <w:shd w:val="clear" w:fill="FFFFFF"/>
          <w:lang w:val="en-US" w:eastAsia="zh-CN"/>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1"/>
          <w:szCs w:val="21"/>
          <w:shd w:val="clear" w:fill="FFFFFF"/>
          <w:lang w:val="en-US" w:eastAsia="zh-CN" w:bidi="ar"/>
        </w:rPr>
        <w:br w:type="textWrapping"/>
      </w: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 0 引言 </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firstLine="361" w:firstLineChars="200"/>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引言是文章特别重要的部分。引言中一般包括以下内容：说明论文的研究背景和重要意义</w:t>
      </w:r>
      <w:r>
        <w:rPr>
          <w:rFonts w:hint="eastAsia" w:ascii="Times New Roman" w:hAnsi="Times New Roman" w:cs="Times New Roman" w:eastAsiaTheme="minorEastAsia"/>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对研究内容所涉及领域的国内外研究现状给以简要评述。对已经取得的进展及存在问题给以说明。这些内容是文章是否立意新，成果具有较高档次的重要标志。这部分要求引用国内外大刊的较新文献，以表明本文成果的创新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应该给出该矿的经纬度坐标，地理位置、他人研究认识（引用参考文献）、自己做过哪些工作、矿床品位、储量（资源量）等信息。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全文参考文献的排序从引言开始。</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不重复摘要与文中内容。</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1 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1.1 小节标题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1.2 小节标题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1.2.1小节标题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小标题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（1）……</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（2）……</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更小标题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 ①……</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 ②……</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270" w:lineRule="atLeast"/>
        <w:ind w:left="0" w:firstLine="420" w:firstLineChars="200"/>
        <w:jc w:val="left"/>
        <w:textAlignment w:val="auto"/>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图表应该放在文章之中。如：某某某见图1，某某某见表1。</w:t>
      </w:r>
    </w:p>
    <w:p>
      <w:pPr>
        <w:keepNext w:val="0"/>
        <w:keepLines w:val="0"/>
        <w:pageBreakBefore w:val="0"/>
        <w:widowControl/>
        <w:suppressLineNumbers w:val="0"/>
        <w:shd w:val="clear" w:fill="FFFFFF"/>
        <w:kinsoku/>
        <w:wordWrap/>
        <w:overflowPunct/>
        <w:topLinePunct w:val="0"/>
        <w:autoSpaceDE/>
        <w:autoSpaceDN/>
        <w:bidi w:val="0"/>
        <w:adjustRightInd/>
        <w:snapToGrid/>
        <w:spacing w:line="270" w:lineRule="atLeast"/>
        <w:ind w:left="0" w:firstLine="420" w:firstLineChars="200"/>
        <w:jc w:val="left"/>
        <w:textAlignment w:val="auto"/>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文中只附必要的图表,在文中相应位置以方框表示并附相应的中文图题、表题,附图要求线条粗细均匀,计算机绘制的线条图可按印刷时的实际尺寸绘制,双栏排图不宽于</w:t>
      </w:r>
      <w:r>
        <w:rPr>
          <w:rFonts w:hint="eastAsia" w:ascii="Times New Roman" w:hAnsi="Times New Roman" w:cs="Times New Roman"/>
          <w:i w:val="0"/>
          <w:caps w:val="0"/>
          <w:color w:val="000000"/>
          <w:spacing w:val="0"/>
          <w:kern w:val="0"/>
          <w:sz w:val="21"/>
          <w:szCs w:val="21"/>
          <w:shd w:val="clear" w:fill="FFFFFF"/>
          <w:lang w:val="en-US" w:eastAsia="zh-CN" w:bidi="ar"/>
        </w:rPr>
        <w:t>78</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mm,通栏排图不宽于1</w:t>
      </w:r>
      <w:r>
        <w:rPr>
          <w:rFonts w:hint="eastAsia" w:ascii="Times New Roman" w:hAnsi="Times New Roman" w:cs="Times New Roman"/>
          <w:i w:val="0"/>
          <w:caps w:val="0"/>
          <w:color w:val="000000"/>
          <w:spacing w:val="0"/>
          <w:kern w:val="0"/>
          <w:sz w:val="21"/>
          <w:szCs w:val="21"/>
          <w:shd w:val="clear" w:fill="FFFFFF"/>
          <w:lang w:val="en-US" w:eastAsia="zh-CN" w:bidi="ar"/>
        </w:rPr>
        <w:t>65</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mm,图中文字最好用6号字。对图版照片要求清晰、层次分明,连同中文图版说明一起拼贴在240mm×1</w:t>
      </w:r>
      <w:r>
        <w:rPr>
          <w:rFonts w:hint="eastAsia" w:ascii="Times New Roman" w:hAnsi="Times New Roman" w:cs="Times New Roman"/>
          <w:i w:val="0"/>
          <w:caps w:val="0"/>
          <w:color w:val="000000"/>
          <w:spacing w:val="0"/>
          <w:kern w:val="0"/>
          <w:sz w:val="21"/>
          <w:szCs w:val="21"/>
          <w:shd w:val="clear" w:fill="FFFFFF"/>
          <w:lang w:val="en-US" w:eastAsia="zh-CN" w:bidi="ar"/>
        </w:rPr>
        <w:t>65</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mm的图版版心尺寸范围内。</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24"/>
          <w:szCs w:val="24"/>
        </w:rPr>
      </w:pPr>
      <w:r>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t>制图注意事项：</w:t>
      </w:r>
      <w:r>
        <w:rPr>
          <w:rFonts w:hint="eastAsia" w:ascii="Times New Roman" w:hAnsi="Times New Roman" w:cs="Times New Roman"/>
          <w:b/>
          <w:bCs/>
          <w:i w:val="0"/>
          <w:caps w:val="0"/>
          <w:color w:val="800080"/>
          <w:spacing w:val="0"/>
          <w:kern w:val="0"/>
          <w:sz w:val="24"/>
          <w:szCs w:val="24"/>
          <w:shd w:val="clear" w:fill="FFFFFF"/>
          <w:lang w:val="en-US" w:eastAsia="zh-CN" w:bidi="ar"/>
        </w:rPr>
        <w:t>（具体见《矿产勘查》稿件编辑须知》）</w:t>
      </w:r>
    </w:p>
    <w:p>
      <w:pPr>
        <w:keepNext w:val="0"/>
        <w:keepLines w:val="0"/>
        <w:widowControl/>
        <w:numPr>
          <w:ilvl w:val="0"/>
          <w:numId w:val="1"/>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图件一定要清晰，给出图的单位和物理量，不需再缩放的图件，图中文字用六号字。</w:t>
      </w:r>
    </w:p>
    <w:p>
      <w:pPr>
        <w:keepNext w:val="0"/>
        <w:keepLines w:val="0"/>
        <w:widowControl/>
        <w:numPr>
          <w:ilvl w:val="0"/>
          <w:numId w:val="1"/>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涉及国界的图件绘制在地图出版社公开出版的最新地理底图上。</w:t>
      </w:r>
    </w:p>
    <w:p>
      <w:pPr>
        <w:keepNext w:val="0"/>
        <w:keepLines w:val="0"/>
        <w:widowControl/>
        <w:suppressLineNumbers w:val="0"/>
        <w:shd w:val="clear" w:fill="FFFFFF"/>
        <w:spacing w:line="270" w:lineRule="atLeast"/>
        <w:ind w:left="0" w:firstLine="420"/>
        <w:jc w:val="center"/>
        <w:rPr>
          <w:rStyle w:val="6"/>
          <w:rFonts w:hint="eastAsia" w:ascii="Times New Roman" w:hAnsi="Times New Roman" w:cs="Times New Roman"/>
          <w:i w:val="0"/>
          <w:caps w:val="0"/>
          <w:color w:val="000000"/>
          <w:spacing w:val="0"/>
          <w:kern w:val="0"/>
          <w:sz w:val="21"/>
          <w:szCs w:val="21"/>
          <w:shd w:val="clear" w:fill="FFFFFF"/>
          <w:lang w:val="en-US" w:eastAsia="zh-CN" w:bidi="ar"/>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图1</w:t>
      </w:r>
      <w:r>
        <w:rPr>
          <w:rStyle w:val="6"/>
          <w:rFonts w:hint="eastAsia" w:ascii="Times New Roman" w:hAnsi="Times New Roman" w:cs="Times New Roman"/>
          <w:i w:val="0"/>
          <w:caps w:val="0"/>
          <w:color w:val="000000"/>
          <w:spacing w:val="0"/>
          <w:kern w:val="0"/>
          <w:sz w:val="21"/>
          <w:szCs w:val="21"/>
          <w:shd w:val="clear" w:fill="FFFFFF"/>
          <w:lang w:val="en-US" w:eastAsia="zh-CN" w:bidi="ar"/>
        </w:rPr>
        <w:t xml:space="preserve"> ......</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pPr>
      <w:r>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t>制表注意事项：</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采用三线表，栏头取消斜线，必要时加辅线。</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表序、表题在表上方居中给出。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20"/>
          <w:szCs w:val="20"/>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表1 </w:t>
      </w:r>
      <w:r>
        <w:rPr>
          <w:rStyle w:val="6"/>
          <w:rFonts w:hint="eastAsia" w:ascii="Times New Roman" w:hAnsi="Times New Roman" w:cs="Times New Roman"/>
          <w:i w:val="0"/>
          <w:caps w:val="0"/>
          <w:color w:val="000000"/>
          <w:spacing w:val="0"/>
          <w:kern w:val="0"/>
          <w:sz w:val="21"/>
          <w:szCs w:val="21"/>
          <w:shd w:val="clear" w:fill="FFFFFF"/>
          <w:lang w:val="en-US" w:eastAsia="zh-CN" w:bidi="ar"/>
        </w:rPr>
        <w:t>......</w:t>
      </w:r>
    </w:p>
    <w:tbl>
      <w:tblPr>
        <w:tblStyle w:val="4"/>
        <w:tblW w:w="0" w:type="auto"/>
        <w:tblInd w:w="0" w:type="dxa"/>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shd w:val="clear" w:color="auto" w:fill="auto"/>
        <w:tblLayout w:type="autofit"/>
        <w:tblCellMar>
          <w:top w:w="0" w:type="dxa"/>
          <w:left w:w="0" w:type="dxa"/>
          <w:bottom w:w="0" w:type="dxa"/>
          <w:right w:w="0" w:type="dxa"/>
        </w:tblCellMar>
      </w:tblPr>
      <w:tblGrid>
        <w:gridCol w:w="8522"/>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shd w:val="clear" w:color="auto" w:fill="auto"/>
          <w:tblCellMar>
            <w:top w:w="0" w:type="dxa"/>
            <w:left w:w="0" w:type="dxa"/>
            <w:bottom w:w="0" w:type="dxa"/>
            <w:right w:w="0" w:type="dxa"/>
          </w:tblCellMar>
        </w:tblPrEx>
        <w:tc>
          <w:tcPr>
            <w:tcW w:w="9628" w:type="dxa"/>
            <w:tcBorders>
              <w:tl2br w:val="nil"/>
              <w:tr2bl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20"/>
                <w:szCs w:val="20"/>
                <w:lang w:val="en-US" w:eastAsia="zh-CN" w:bidi="ar"/>
              </w:rPr>
              <w:t>———————                                         ————————</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tblCellMar>
            <w:top w:w="0" w:type="dxa"/>
            <w:left w:w="0" w:type="dxa"/>
            <w:bottom w:w="0" w:type="dxa"/>
            <w:right w:w="0" w:type="dxa"/>
          </w:tblCellMar>
        </w:tblPrEx>
        <w:tc>
          <w:tcPr>
            <w:tcW w:w="9628" w:type="dxa"/>
            <w:tcBorders>
              <w:tl2br w:val="nil"/>
              <w:tr2bl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对测试数据要注明测试者、</w:t>
      </w:r>
      <w:r>
        <w:rPr>
          <w:rFonts w:hint="eastAsia" w:ascii="宋体" w:hAnsi="宋体" w:eastAsia="宋体" w:cs="宋体"/>
          <w:sz w:val="21"/>
          <w:szCs w:val="21"/>
          <w:lang w:val="en-US" w:eastAsia="zh-CN"/>
        </w:rPr>
        <w:t>测试时间、</w:t>
      </w:r>
      <w:r>
        <w:rPr>
          <w:rFonts w:hint="default" w:ascii="宋体" w:hAnsi="宋体" w:eastAsia="宋体" w:cs="宋体"/>
          <w:sz w:val="21"/>
          <w:szCs w:val="21"/>
          <w:lang w:val="en-US" w:eastAsia="zh-CN"/>
        </w:rPr>
        <w:t>测试方法、实验仪器设备、实验条件、精度及误差范围等。与同位素地球化学和稀土元素地球化学有关的论文要附原始数据。</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若表中数据单位都相同, 可统一写在表顶线上右侧。若有注释或说明, 写在表底线下左侧。表中重复出现的文字或数据, 不可用“同前”“同左”等表示, 必须全部重复写出。</w:t>
      </w: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4"/>
          <w:szCs w:val="24"/>
          <w:shd w:val="clear" w:fill="FFFFFF"/>
          <w:lang w:val="en-US" w:eastAsia="zh-CN" w:bidi="ar"/>
        </w:rPr>
        <w:t>其他：</w:t>
      </w: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文中量和单位采用中华人民共和国法定计量单位以及国际标准单位制（SI）</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外文缩写</w:t>
      </w:r>
      <w:r>
        <w:rPr>
          <w:rStyle w:val="6"/>
          <w:rFonts w:hint="eastAsia" w:ascii="Times New Roman" w:hAnsi="Times New Roman" w:cs="Times New Roman"/>
          <w:i w:val="0"/>
          <w:caps w:val="0"/>
          <w:color w:val="FF0000"/>
          <w:spacing w:val="0"/>
          <w:kern w:val="0"/>
          <w:sz w:val="20"/>
          <w:szCs w:val="20"/>
          <w:shd w:val="clear" w:fill="FFFFFF"/>
          <w:lang w:val="en-US" w:eastAsia="zh-CN" w:bidi="ar"/>
        </w:rPr>
        <w:t>:</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在首次出现时写明中文含义与外文全称。</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每个外文符号必须分清大、小写，正、斜体，黑、白体及语种，上、下角标的位置要规范，一个符号代表一个物理量，切勿重复定义，也勿漏说明，并做到全文一致，文、图与文、表一致。</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物理单位：</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所有公式、图、表中的物理符号，需要在第一次出现时标定物理含义、物理单位。涉及到“量/单位”的表示时，在/之后，复合单位（如mg/L，kg/mol，J/（mol•K），cm/s等等）需要加括号，非复合单位（如m，cm，kg，mV，等等）则不必加括号。例如：质量浓度/（mg/L），质量/kg。</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数值区间：</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一般要用</w:t>
      </w:r>
      <w:r>
        <w:rPr>
          <w:rStyle w:val="6"/>
          <w:rFonts w:hint="eastAsia" w:ascii="Times New Roman" w:hAnsi="Times New Roman" w:cs="Times New Roman"/>
          <w:i w:val="0"/>
          <w:caps w:val="0"/>
          <w:color w:val="auto"/>
          <w:spacing w:val="0"/>
          <w:kern w:val="0"/>
          <w:sz w:val="20"/>
          <w:szCs w:val="20"/>
          <w:shd w:val="clear" w:fill="FFFFFF"/>
          <w:lang w:val="en-US" w:eastAsia="zh-CN" w:bidi="ar"/>
        </w:rPr>
        <w:t xml:space="preserve"> </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，有时会用</w:t>
      </w:r>
      <w:r>
        <w:rPr>
          <w:rStyle w:val="6"/>
          <w:rFonts w:hint="eastAsia" w:ascii="Times New Roman" w:hAnsi="Times New Roman" w:cs="Times New Roman"/>
          <w:i w:val="0"/>
          <w:caps w:val="0"/>
          <w:color w:val="auto"/>
          <w:spacing w:val="0"/>
          <w:kern w:val="0"/>
          <w:sz w:val="20"/>
          <w:szCs w:val="20"/>
          <w:shd w:val="clear" w:fill="FFFFFF"/>
          <w:lang w:val="en-US" w:eastAsia="zh-CN" w:bidi="ar"/>
        </w:rPr>
        <w:t xml:space="preserve"> </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（如年份、月份、日期等）</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xml:space="preserve">例如：10~15 m  20%~25%  </w:t>
      </w:r>
      <w:r>
        <w:rPr>
          <w:rStyle w:val="6"/>
          <w:rFonts w:hint="eastAsia" w:ascii="Times New Roman" w:hAnsi="Times New Roman" w:cs="Times New Roman"/>
          <w:i w:val="0"/>
          <w:caps w:val="0"/>
          <w:color w:val="auto"/>
          <w:spacing w:val="0"/>
          <w:kern w:val="0"/>
          <w:sz w:val="20"/>
          <w:szCs w:val="20"/>
          <w:shd w:val="clear" w:fill="FFFFFF"/>
          <w:lang w:val="en-US" w:eastAsia="zh-CN" w:bidi="ar"/>
        </w:rPr>
        <w:t>2017—2020年</w:t>
      </w:r>
    </w:p>
    <w:p>
      <w:pPr>
        <w:pStyle w:val="2"/>
        <w:rPr>
          <w:rFonts w:hint="eastAsia" w:ascii="宋体" w:hAnsi="宋体" w:eastAsia="宋体" w:cs="宋体"/>
          <w:sz w:val="21"/>
          <w:szCs w:val="21"/>
        </w:rPr>
      </w:pPr>
      <w:r>
        <w:rPr>
          <w:rStyle w:val="6"/>
          <w:rFonts w:hint="default" w:ascii="Times New Roman" w:hAnsi="Times New Roman" w:cs="Times New Roman" w:eastAsiaTheme="minorEastAsia"/>
          <w:b/>
          <w:bCs w:val="0"/>
          <w:i w:val="0"/>
          <w:caps w:val="0"/>
          <w:color w:val="FF0000"/>
          <w:spacing w:val="0"/>
          <w:kern w:val="0"/>
          <w:sz w:val="20"/>
          <w:szCs w:val="20"/>
          <w:shd w:val="clear" w:fill="FFFFFF"/>
          <w:lang w:val="en-US" w:eastAsia="zh-CN" w:bidi="ar"/>
        </w:rPr>
        <w:t> </w:t>
      </w:r>
      <w:r>
        <w:rPr>
          <w:rStyle w:val="6"/>
          <w:rFonts w:hint="eastAsia" w:ascii="Times New Roman" w:hAnsi="Times New Roman" w:cs="Times New Roman" w:eastAsiaTheme="minorEastAsia"/>
          <w:b/>
          <w:bCs w:val="0"/>
          <w:i w:val="0"/>
          <w:caps w:val="0"/>
          <w:color w:val="FF0000"/>
          <w:spacing w:val="0"/>
          <w:kern w:val="0"/>
          <w:sz w:val="20"/>
          <w:szCs w:val="20"/>
          <w:shd w:val="clear" w:fill="FFFFFF"/>
          <w:lang w:val="en-US" w:eastAsia="zh-CN" w:bidi="ar"/>
        </w:rPr>
        <w:t>公式：</w:t>
      </w:r>
      <w:r>
        <w:rPr>
          <w:rFonts w:hint="eastAsia" w:ascii="宋体" w:hAnsi="宋体" w:eastAsia="宋体" w:cs="宋体"/>
          <w:sz w:val="21"/>
          <w:szCs w:val="21"/>
        </w:rPr>
        <w:t>公式建议使用</w:t>
      </w:r>
      <w:r>
        <w:rPr>
          <w:sz w:val="21"/>
          <w:szCs w:val="21"/>
        </w:rPr>
        <w:t>Microsoft Word</w:t>
      </w:r>
      <w:r>
        <w:rPr>
          <w:rFonts w:hint="eastAsia" w:ascii="宋体" w:hAnsi="宋体" w:eastAsia="宋体" w:cs="宋体"/>
          <w:sz w:val="21"/>
          <w:szCs w:val="21"/>
        </w:rPr>
        <w:t>自带的公式编辑器编辑。</w:t>
      </w:r>
      <w:r>
        <w:rPr>
          <w:rFonts w:hint="eastAsia" w:ascii="宋体" w:hAnsi="宋体" w:eastAsia="宋体" w:cs="宋体"/>
          <w:color w:val="FF0000"/>
          <w:sz w:val="21"/>
          <w:szCs w:val="21"/>
          <w:u w:val="single"/>
        </w:rPr>
        <w:t>字母变量使用斜体</w:t>
      </w:r>
      <w:r>
        <w:rPr>
          <w:rFonts w:hint="eastAsia" w:ascii="宋体" w:hAnsi="宋体" w:eastAsia="宋体" w:cs="宋体"/>
          <w:sz w:val="21"/>
          <w:szCs w:val="21"/>
        </w:rPr>
        <w:t>，数学运算如</w:t>
      </w:r>
      <m:oMath>
        <m:r>
          <m:rPr>
            <m:sty m:val="p"/>
          </m:rPr>
          <w:rPr>
            <w:rFonts w:hint="eastAsia" w:ascii="Cambria Math" w:hAnsi="Cambria Math"/>
            <w:sz w:val="21"/>
            <w:szCs w:val="21"/>
          </w:rPr>
          <m:t>cos</m:t>
        </m:r>
      </m:oMath>
      <w:r>
        <w:rPr>
          <w:rFonts w:hint="eastAsia" w:ascii="宋体" w:hAnsi="宋体" w:eastAsia="宋体" w:cs="宋体"/>
          <w:sz w:val="21"/>
          <w:szCs w:val="21"/>
        </w:rPr>
        <w:t>、</w:t>
      </w:r>
      <m:oMath>
        <m:r>
          <m:rPr>
            <m:sty m:val="p"/>
          </m:rPr>
          <w:rPr>
            <w:rFonts w:hint="eastAsia" w:ascii="Cambria Math" w:hAnsi="Cambria Math"/>
            <w:sz w:val="21"/>
            <w:szCs w:val="21"/>
          </w:rPr>
          <m:t>log</m:t>
        </m:r>
      </m:oMath>
      <w:r>
        <w:rPr>
          <w:rFonts w:hint="eastAsia" w:ascii="宋体" w:hAnsi="宋体" w:eastAsia="宋体" w:cs="宋体"/>
          <w:sz w:val="21"/>
          <w:szCs w:val="21"/>
        </w:rPr>
        <w:t>使用普通字体。要求公式中的每个变量均要在文中有所体现，或事先使用，或紧跟公式对变量做补充说明。</w:t>
      </w:r>
    </w:p>
    <w:p>
      <w:pPr>
        <w:pStyle w:val="2"/>
        <w:rPr>
          <w:rFonts w:hint="eastAsia" w:ascii="宋体" w:hAnsi="宋体" w:eastAsia="宋体" w:cs="宋体"/>
          <w:sz w:val="21"/>
          <w:szCs w:val="21"/>
        </w:rPr>
      </w:pPr>
      <w:r>
        <w:rPr>
          <w:rFonts w:hint="eastAsia" w:ascii="宋体" w:hAnsi="宋体" w:eastAsia="宋体" w:cs="宋体"/>
          <w:sz w:val="21"/>
          <w:szCs w:val="21"/>
        </w:rPr>
        <w:t>长度较长或重要的公式单独占一行，居中，从</w:t>
      </w:r>
      <w:r>
        <w:rPr>
          <w:sz w:val="21"/>
          <w:szCs w:val="21"/>
        </w:rPr>
        <w:t>“</w:t>
      </w:r>
      <w:r>
        <w:rPr>
          <w:rFonts w:hint="eastAsia" w:ascii="宋体" w:hAnsi="宋体" w:eastAsia="宋体" w:cs="宋体"/>
          <w:sz w:val="21"/>
          <w:szCs w:val="21"/>
        </w:rPr>
        <w:t>（公式</w:t>
      </w:r>
      <w:r>
        <w:rPr>
          <w:rFonts w:hint="eastAsia"/>
          <w:sz w:val="21"/>
          <w:szCs w:val="21"/>
        </w:rPr>
        <w:t>1</w:t>
      </w:r>
      <w:r>
        <w:rPr>
          <w:rFonts w:hint="eastAsia" w:ascii="宋体" w:hAnsi="宋体" w:eastAsia="宋体" w:cs="宋体"/>
          <w:sz w:val="21"/>
          <w:szCs w:val="21"/>
        </w:rPr>
        <w:t>）</w:t>
      </w:r>
      <w:r>
        <w:rPr>
          <w:sz w:val="21"/>
          <w:szCs w:val="21"/>
        </w:rPr>
        <w:t>”</w:t>
      </w:r>
      <w:r>
        <w:rPr>
          <w:rFonts w:hint="eastAsia" w:ascii="宋体" w:hAnsi="宋体" w:eastAsia="宋体" w:cs="宋体"/>
          <w:sz w:val="21"/>
          <w:szCs w:val="21"/>
        </w:rPr>
        <w:t>开始顺序编号。</w:t>
      </w:r>
    </w:p>
    <w:p>
      <w:pPr>
        <w:pStyle w:val="2"/>
        <w:rPr>
          <w:sz w:val="21"/>
          <w:szCs w:val="21"/>
        </w:rPr>
      </w:pPr>
      <w:r>
        <w:rPr>
          <w:rFonts w:hint="eastAsia" w:ascii="宋体" w:hAnsi="宋体" w:eastAsia="宋体" w:cs="宋体"/>
          <w:sz w:val="21"/>
          <w:szCs w:val="21"/>
        </w:rPr>
        <w:t>例如，在向量空间模型中，对于给定的文档向量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p>
          <m:sSupPr>
            <m:ctrlPr>
              <w:rPr>
                <w:rFonts w:ascii="Cambria Math" w:hAnsi="Cambria Math"/>
                <w:sz w:val="21"/>
                <w:szCs w:val="21"/>
              </w:rPr>
            </m:ctrlPr>
          </m:sSupPr>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12</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1M</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e>
          <m:sup>
            <m:r>
              <w:rPr>
                <w:rFonts w:ascii="Cambria Math" w:hAnsi="Cambria Math"/>
                <w:sz w:val="21"/>
                <w:szCs w:val="21"/>
              </w:rPr>
              <m:t>T</m:t>
            </m:r>
            <m:ctrlPr>
              <w:rPr>
                <w:rFonts w:ascii="Cambria Math" w:hAnsi="Cambria Math"/>
                <w:i/>
                <w:sz w:val="21"/>
                <w:szCs w:val="21"/>
              </w:rPr>
            </m:ctrlPr>
          </m:sup>
        </m:sSup>
      </m:oMath>
      <w:r>
        <w:rPr>
          <w:rFonts w:hint="eastAsia" w:ascii="宋体" w:hAnsi="宋体" w:eastAsia="宋体" w:cs="宋体"/>
          <w:sz w:val="21"/>
          <w:szCs w:val="21"/>
        </w:rPr>
        <w:t>和</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r>
          <w:rPr>
            <w:rFonts w:ascii="Cambria Math" w:hAnsi="Cambria Math"/>
            <w:sz w:val="21"/>
            <w:szCs w:val="21"/>
          </w:rPr>
          <m:t>=</m:t>
        </m:r>
        <m:sSup>
          <m:sSupPr>
            <m:ctrlPr>
              <w:rPr>
                <w:rFonts w:ascii="Cambria Math" w:hAnsi="Cambria Math"/>
                <w:i/>
                <w:sz w:val="21"/>
                <w:szCs w:val="21"/>
              </w:rPr>
            </m:ctrlPr>
          </m:sSupPr>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22</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2M</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e>
          <m:sup>
            <m:r>
              <w:rPr>
                <w:rFonts w:ascii="Cambria Math" w:hAnsi="Cambria Math"/>
                <w:sz w:val="21"/>
                <w:szCs w:val="21"/>
              </w:rPr>
              <m:t>T</m:t>
            </m:r>
            <m:ctrlPr>
              <w:rPr>
                <w:rFonts w:ascii="Cambria Math" w:hAnsi="Cambria Math"/>
                <w:i/>
                <w:sz w:val="21"/>
                <w:szCs w:val="21"/>
              </w:rPr>
            </m:ctrlPr>
          </m:sup>
        </m:sSup>
      </m:oMath>
      <w:r>
        <w:rPr>
          <w:rFonts w:hint="eastAsia" w:ascii="宋体" w:hAnsi="宋体" w:eastAsia="宋体" w:cs="宋体"/>
          <w:sz w:val="21"/>
          <w:szCs w:val="21"/>
        </w:rPr>
        <w:t>，其相似度</w:t>
      </w:r>
      <m:oMath>
        <m:r>
          <w:rPr>
            <w:rFonts w:ascii="Cambria Math" w:hAnsi="Cambria Math"/>
            <w:sz w:val="21"/>
            <w:szCs w:val="21"/>
          </w:rPr>
          <m:t>sim</m:t>
        </m:r>
        <m:d>
          <m:dPr>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oMath>
      <w:r>
        <w:rPr>
          <w:rFonts w:hint="eastAsia" w:ascii="宋体" w:hAnsi="宋体" w:eastAsia="宋体" w:cs="宋体"/>
          <w:sz w:val="21"/>
          <w:szCs w:val="21"/>
        </w:rPr>
        <w:t>定义</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oMath>
      <w:r>
        <w:rPr>
          <w:rFonts w:hint="eastAsia" w:ascii="宋体" w:hAnsi="宋体" w:eastAsia="宋体" w:cs="宋体"/>
          <w:sz w:val="21"/>
          <w:szCs w:val="21"/>
        </w:rPr>
        <w:t>和</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oMath>
      <w:r>
        <w:rPr>
          <w:rFonts w:hint="eastAsia" w:ascii="宋体" w:hAnsi="宋体" w:eastAsia="宋体" w:cs="宋体"/>
          <w:sz w:val="21"/>
          <w:szCs w:val="21"/>
        </w:rPr>
        <w:t>夹角的余弦值，即</w:t>
      </w:r>
    </w:p>
    <w:p>
      <w:pPr>
        <w:rPr>
          <w:i/>
          <w:sz w:val="21"/>
          <w:szCs w:val="21"/>
        </w:rPr>
      </w:pPr>
      <m:oMathPara>
        <m:oMath>
          <m:r>
            <w:rPr>
              <w:rFonts w:ascii="Cambria Math" w:hAnsi="Cambria Math"/>
              <w:sz w:val="21"/>
              <w:szCs w:val="21"/>
            </w:rPr>
            <m:t>sim</m:t>
          </m:r>
          <m:d>
            <m:dPr>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m:t>
          </m:r>
          <m:r>
            <m:rPr>
              <m:sty m:val="p"/>
            </m:rPr>
            <w:rPr>
              <w:rFonts w:ascii="Cambria Math" w:hAnsi="Cambria Math"/>
              <w:sz w:val="21"/>
              <w:szCs w:val="21"/>
            </w:rPr>
            <m:t>cos</m:t>
          </m:r>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m:t>
          </m:r>
          <m:f>
            <m:fPr>
              <m:ctrlPr>
                <w:rPr>
                  <w:rFonts w:ascii="Cambria Math" w:hAnsi="Cambria Math"/>
                  <w:i/>
                  <w:sz w:val="21"/>
                  <w:szCs w:val="21"/>
                </w:rPr>
              </m:ctrlPr>
            </m:fPr>
            <m:num>
              <m:sSubSup>
                <m:sSubSupPr>
                  <m:ctrlPr>
                    <w:rPr>
                      <w:rFonts w:ascii="Cambria Math" w:hAnsi="Cambria Math"/>
                      <w:i/>
                      <w:sz w:val="21"/>
                      <w:szCs w:val="21"/>
                    </w:rPr>
                  </m:ctrlPr>
                </m:sSubSup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up>
                  <m:r>
                    <w:rPr>
                      <w:rFonts w:ascii="Cambria Math" w:hAnsi="Cambria Math"/>
                      <w:sz w:val="21"/>
                      <w:szCs w:val="21"/>
                    </w:rPr>
                    <m:t>T</m:t>
                  </m:r>
                  <m:ctrlPr>
                    <w:rPr>
                      <w:rFonts w:ascii="Cambria Math" w:hAnsi="Cambria Math"/>
                      <w:i/>
                      <w:sz w:val="21"/>
                      <w:szCs w:val="21"/>
                    </w:rPr>
                  </m:ctrlPr>
                </m:sup>
              </m:sSubSup>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num>
            <m:den>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ctrlPr>
                    <w:rPr>
                      <w:rFonts w:ascii="Cambria Math" w:hAnsi="Cambria Math"/>
                      <w:i/>
                      <w:sz w:val="21"/>
                      <w:szCs w:val="21"/>
                    </w:rPr>
                  </m:ctrlPr>
                </m:e>
              </m:d>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den>
          </m:f>
        </m:oMath>
      </m:oMathPara>
    </w:p>
    <w:p>
      <w:pPr>
        <w:jc w:val="right"/>
        <w:rPr>
          <w:sz w:val="21"/>
          <w:szCs w:val="21"/>
        </w:rPr>
      </w:pPr>
      <w:r>
        <w:rPr>
          <w:rFonts w:hint="eastAsia" w:ascii="宋体" w:hAnsi="宋体" w:eastAsia="宋体" w:cs="宋体"/>
          <w:sz w:val="21"/>
          <w:szCs w:val="21"/>
        </w:rPr>
        <w:t>（公式</w:t>
      </w:r>
      <w:r>
        <w:rPr>
          <w:sz w:val="21"/>
          <w:szCs w:val="21"/>
        </w:rPr>
        <w:t>1</w:t>
      </w:r>
      <w:r>
        <w:rPr>
          <w:rFonts w:hint="eastAsia" w:ascii="宋体" w:hAnsi="宋体" w:eastAsia="宋体" w:cs="宋体"/>
          <w:sz w:val="21"/>
          <w:szCs w:val="21"/>
        </w:rPr>
        <w:t>）</w:t>
      </w:r>
    </w:p>
    <w:p>
      <w:pPr>
        <w:rPr>
          <w:sz w:val="21"/>
          <w:szCs w:val="21"/>
        </w:rPr>
      </w:pPr>
      <w:r>
        <w:rPr>
          <w:rFonts w:hint="eastAsia" w:ascii="宋体" w:hAnsi="宋体" w:eastAsia="宋体" w:cs="宋体"/>
          <w:sz w:val="21"/>
          <w:szCs w:val="21"/>
        </w:rPr>
        <w:t>其中，</w:t>
      </w:r>
      <m:oMath>
        <m:sSubSup>
          <m:sSubSupPr>
            <m:ctrlPr>
              <w:rPr>
                <w:rFonts w:ascii="Cambria Math" w:hAnsi="Cambria Math"/>
                <w:i/>
                <w:sz w:val="21"/>
                <w:szCs w:val="21"/>
              </w:rPr>
            </m:ctrlPr>
          </m:sSubSup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up>
            <m:r>
              <w:rPr>
                <w:rFonts w:ascii="Cambria Math" w:hAnsi="Cambria Math"/>
                <w:sz w:val="21"/>
                <w:szCs w:val="21"/>
              </w:rPr>
              <m:t>T</m:t>
            </m:r>
            <m:ctrlPr>
              <w:rPr>
                <w:rFonts w:ascii="Cambria Math" w:hAnsi="Cambria Math"/>
                <w:i/>
                <w:sz w:val="21"/>
                <w:szCs w:val="21"/>
              </w:rPr>
            </m:ctrlPr>
          </m:sup>
        </m:sSubSup>
      </m:oMath>
      <w:r>
        <w:rPr>
          <w:rFonts w:hint="eastAsia" w:ascii="宋体" w:hAnsi="宋体" w:eastAsia="宋体" w:cs="宋体"/>
          <w:sz w:val="21"/>
          <w:szCs w:val="21"/>
        </w:rPr>
        <w:t>为向量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宋体" w:hAnsi="宋体" w:eastAsia="宋体" w:cs="宋体"/>
          <w:sz w:val="21"/>
          <w:szCs w:val="21"/>
        </w:rPr>
        <w:t>的转置，</w:t>
      </w:r>
      <m:oMath>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 xml:space="preserve"> </m:t>
        </m:r>
      </m:oMath>
      <w:r>
        <w:rPr>
          <w:rFonts w:hint="eastAsia" w:ascii="宋体" w:hAnsi="宋体" w:eastAsia="宋体" w:cs="宋体"/>
          <w:sz w:val="21"/>
          <w:szCs w:val="21"/>
        </w:rPr>
        <w:t>为向量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宋体" w:hAnsi="宋体" w:eastAsia="宋体" w:cs="宋体"/>
          <w:sz w:val="21"/>
          <w:szCs w:val="21"/>
        </w:rPr>
        <w:t>的长度（</w:t>
      </w:r>
      <m:oMath>
        <m:r>
          <w:rPr>
            <w:rFonts w:ascii="Cambria Math" w:hAnsi="Cambria Math"/>
            <w:sz w:val="21"/>
            <w:szCs w:val="21"/>
          </w:rPr>
          <m:t>i=1,2</m:t>
        </m:r>
      </m:oMath>
      <w:r>
        <w:rPr>
          <w:rFonts w:hint="eastAsia" w:ascii="宋体" w:hAnsi="宋体" w:eastAsia="宋体" w:cs="宋体"/>
          <w:sz w:val="21"/>
          <w:szCs w:val="21"/>
        </w:rPr>
        <w:t>）。</w:t>
      </w:r>
    </w:p>
    <w:p>
      <w:pPr>
        <w:ind w:firstLine="422" w:firstLineChars="200"/>
        <w:rPr>
          <w:b/>
          <w:bCs/>
          <w:sz w:val="21"/>
          <w:szCs w:val="21"/>
        </w:rPr>
      </w:pPr>
      <w:r>
        <w:rPr>
          <w:rFonts w:hint="eastAsia" w:ascii="宋体" w:hAnsi="宋体" w:eastAsia="宋体" w:cs="宋体"/>
          <w:b/>
          <w:bCs/>
          <w:sz w:val="21"/>
          <w:szCs w:val="21"/>
        </w:rPr>
        <w:t>不单独成行的大型运算符号的上、下角标在右侧，使用较为紧凑的表达方式，如</w:t>
      </w:r>
      <m:oMath>
        <m:acc>
          <m:accPr>
            <m:chr m:val="̅"/>
            <m:ctrlPr>
              <w:rPr>
                <w:rFonts w:ascii="Cambria Math" w:hAnsi="Cambria Math"/>
                <w:i/>
                <w:sz w:val="21"/>
                <w:szCs w:val="21"/>
              </w:rPr>
            </m:ctrlPr>
          </m:accPr>
          <m:e>
            <m:r>
              <w:rPr>
                <w:rFonts w:hint="eastAsia" w:ascii="Cambria Math" w:hAnsi="Cambria Math"/>
                <w:sz w:val="21"/>
                <w:szCs w:val="21"/>
              </w:rPr>
              <m:t>X</m:t>
            </m:r>
            <m:ctrlPr>
              <w:rPr>
                <w:rFonts w:ascii="Cambria Math" w:hAnsi="Cambria Math"/>
                <w:i/>
                <w:sz w:val="21"/>
                <w:szCs w:val="21"/>
              </w:rPr>
            </m:ctrlPr>
          </m:e>
        </m:acc>
        <m:r>
          <w:rPr>
            <w:rFonts w:ascii="Cambria Math" w:hAnsi="Cambria Math"/>
            <w:sz w:val="21"/>
            <w:szCs w:val="21"/>
          </w:rPr>
          <m:t>=</m:t>
        </m:r>
        <m:f>
          <m:fPr>
            <m:type m:val="lin"/>
            <m:ctrlPr>
              <w:rPr>
                <w:rFonts w:ascii="Cambria Math" w:hAnsi="Cambria Math"/>
                <w:i/>
                <w:sz w:val="21"/>
                <w:szCs w:val="21"/>
              </w:rPr>
            </m:ctrlPr>
          </m:fPr>
          <m:num>
            <m:d>
              <m:dPr>
                <m:ctrlPr>
                  <w:rPr>
                    <w:rFonts w:ascii="Cambria Math" w:hAnsi="Cambria Math"/>
                    <w:i/>
                    <w:sz w:val="21"/>
                    <w:szCs w:val="21"/>
                  </w:rPr>
                </m:ctrlPr>
              </m:dPr>
              <m:e>
                <m:nary>
                  <m:naryPr>
                    <m:chr m:val="∑"/>
                    <m:limLoc m:val="subSup"/>
                    <m:ctrlPr>
                      <w:rPr>
                        <w:rFonts w:ascii="Cambria Math" w:hAnsi="Cambria Math"/>
                        <w:i/>
                        <w:sz w:val="21"/>
                        <w:szCs w:val="21"/>
                      </w:rPr>
                    </m:ctrlPr>
                  </m:naryPr>
                  <m:sub>
                    <m:r>
                      <w:rPr>
                        <w:rFonts w:ascii="Cambria Math" w:hAnsi="Cambria Math"/>
                        <w:sz w:val="21"/>
                        <w:szCs w:val="21"/>
                      </w:rPr>
                      <m:t>i=1</m:t>
                    </m:r>
                    <m:ctrlPr>
                      <w:rPr>
                        <w:rFonts w:ascii="Cambria Math" w:hAnsi="Cambria Math"/>
                        <w:i/>
                        <w:sz w:val="21"/>
                        <w:szCs w:val="21"/>
                      </w:rPr>
                    </m:ctrlPr>
                  </m:sub>
                  <m:sup>
                    <m:r>
                      <w:rPr>
                        <w:rFonts w:ascii="Cambria Math" w:hAnsi="Cambria Math"/>
                        <w:sz w:val="21"/>
                        <w:szCs w:val="21"/>
                      </w:rPr>
                      <m:t>N</m:t>
                    </m:r>
                    <m:ctrlPr>
                      <w:rPr>
                        <w:rFonts w:ascii="Cambria Math" w:hAnsi="Cambria Math"/>
                        <w:i/>
                        <w:sz w:val="21"/>
                        <w:szCs w:val="21"/>
                      </w:rPr>
                    </m:ctrlPr>
                  </m:sup>
                  <m:e>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nary>
                <m:ctrlPr>
                  <w:rPr>
                    <w:rFonts w:ascii="Cambria Math" w:hAnsi="Cambria Math"/>
                    <w:i/>
                    <w:sz w:val="21"/>
                    <w:szCs w:val="21"/>
                  </w:rPr>
                </m:ctrlPr>
              </m:e>
            </m:d>
            <m:ctrlPr>
              <w:rPr>
                <w:rFonts w:ascii="Cambria Math" w:hAnsi="Cambria Math"/>
                <w:i/>
                <w:sz w:val="21"/>
                <w:szCs w:val="21"/>
              </w:rPr>
            </m:ctrlPr>
          </m:num>
          <m:den>
            <m:r>
              <w:rPr>
                <w:rFonts w:ascii="Cambria Math" w:hAnsi="Cambria Math"/>
                <w:sz w:val="21"/>
                <w:szCs w:val="21"/>
              </w:rPr>
              <m:t>N</m:t>
            </m:r>
            <m:ctrlPr>
              <w:rPr>
                <w:rFonts w:ascii="Cambria Math" w:hAnsi="Cambria Math"/>
                <w:i/>
                <w:sz w:val="21"/>
                <w:szCs w:val="21"/>
              </w:rPr>
            </m:ctrlPr>
          </m:den>
        </m:f>
      </m:oMath>
      <w:r>
        <w:rPr>
          <w:rFonts w:hint="eastAsia" w:ascii="宋体" w:hAnsi="宋体" w:eastAsia="宋体" w:cs="宋体"/>
          <w:sz w:val="21"/>
          <w:szCs w:val="21"/>
        </w:rPr>
        <w:t>；</w:t>
      </w:r>
      <w:r>
        <w:rPr>
          <w:rFonts w:hint="eastAsia" w:ascii="宋体" w:hAnsi="宋体" w:eastAsia="宋体" w:cs="宋体"/>
          <w:b/>
          <w:bCs/>
          <w:sz w:val="21"/>
          <w:szCs w:val="21"/>
        </w:rPr>
        <w:t>单独成行的大型运算符的上、下角标在运算符的正上、正下方，如下式中的求和符号。</w:t>
      </w:r>
    </w:p>
    <w:p>
      <w:pPr>
        <w:jc w:val="right"/>
        <w:rPr>
          <w:rFonts w:hint="default" w:ascii="Times New Roman" w:hAnsi="Times New Roman" w:cs="Times New Roman" w:eastAsiaTheme="minorEastAsia"/>
          <w:i w:val="0"/>
          <w:caps w:val="0"/>
          <w:color w:val="000000"/>
          <w:spacing w:val="0"/>
          <w:sz w:val="20"/>
          <w:szCs w:val="20"/>
        </w:rPr>
      </w:pPr>
      <m:oMath>
        <m:acc>
          <m:accPr>
            <m:chr m:val="̅"/>
            <m:ctrlPr>
              <w:rPr>
                <w:rFonts w:ascii="Cambria Math" w:hAnsi="Cambria Math"/>
                <w:i/>
                <w:sz w:val="21"/>
                <w:szCs w:val="21"/>
              </w:rPr>
            </m:ctrlPr>
          </m:accPr>
          <m:e>
            <m:r>
              <w:rPr>
                <w:rFonts w:hint="eastAsia" w:ascii="Cambria Math" w:hAnsi="Cambria Math"/>
                <w:sz w:val="21"/>
                <w:szCs w:val="21"/>
              </w:rPr>
              <m:t>X</m:t>
            </m:r>
            <m:ctrlPr>
              <w:rPr>
                <w:rFonts w:ascii="Cambria Math" w:hAnsi="Cambria Math"/>
                <w:i/>
                <w:sz w:val="21"/>
                <w:szCs w:val="21"/>
              </w:rPr>
            </m:ctrlPr>
          </m:e>
        </m:acc>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ctrlPr>
              <w:rPr>
                <w:rFonts w:ascii="Cambria Math" w:hAnsi="Cambria Math"/>
                <w:i/>
                <w:sz w:val="21"/>
                <w:szCs w:val="21"/>
              </w:rPr>
            </m:ctrlPr>
          </m:num>
          <m:den>
            <m:r>
              <w:rPr>
                <w:rFonts w:ascii="Cambria Math" w:hAnsi="Cambria Math"/>
                <w:sz w:val="21"/>
                <w:szCs w:val="21"/>
              </w:rPr>
              <m:t>N</m:t>
            </m:r>
            <m:ctrlPr>
              <w:rPr>
                <w:rFonts w:ascii="Cambria Math" w:hAnsi="Cambria Math"/>
                <w:i/>
                <w:sz w:val="21"/>
                <w:szCs w:val="21"/>
              </w:rPr>
            </m:ctrlPr>
          </m:den>
        </m:f>
        <m:nary>
          <m:naryPr>
            <m:chr m:val="∑"/>
            <m:limLoc m:val="undOvr"/>
            <m:ctrlPr>
              <w:rPr>
                <w:rFonts w:ascii="Cambria Math" w:hAnsi="Cambria Math"/>
                <w:i/>
                <w:sz w:val="21"/>
                <w:szCs w:val="21"/>
              </w:rPr>
            </m:ctrlPr>
          </m:naryPr>
          <m:sub>
            <m:r>
              <w:rPr>
                <w:rFonts w:ascii="Cambria Math" w:hAnsi="Cambria Math"/>
                <w:sz w:val="21"/>
                <w:szCs w:val="21"/>
              </w:rPr>
              <m:t>i=1</m:t>
            </m:r>
            <m:ctrlPr>
              <w:rPr>
                <w:rFonts w:ascii="Cambria Math" w:hAnsi="Cambria Math"/>
                <w:i/>
                <w:sz w:val="21"/>
                <w:szCs w:val="21"/>
              </w:rPr>
            </m:ctrlPr>
          </m:sub>
          <m:sup>
            <m:r>
              <w:rPr>
                <w:rFonts w:ascii="Cambria Math" w:hAnsi="Cambria Math"/>
                <w:sz w:val="21"/>
                <w:szCs w:val="21"/>
              </w:rPr>
              <m:t>N</m:t>
            </m:r>
            <m:ctrlPr>
              <w:rPr>
                <w:rFonts w:ascii="Cambria Math" w:hAnsi="Cambria Math"/>
                <w:i/>
                <w:sz w:val="21"/>
                <w:szCs w:val="21"/>
              </w:rPr>
            </m:ctrlPr>
          </m:sup>
          <m:e>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nary>
      </m:oMath>
      <w:r>
        <w:rPr>
          <w:rFonts w:hint="eastAsia" w:ascii="Cambria Math" w:hAnsi="Cambria Math"/>
          <w:i w:val="0"/>
          <w:sz w:val="21"/>
          <w:szCs w:val="21"/>
          <w:lang w:val="en-US" w:eastAsia="zh-CN"/>
        </w:rPr>
        <w:t xml:space="preserve">                         </w:t>
      </w:r>
      <w:r>
        <w:rPr>
          <w:rFonts w:hint="eastAsia" w:ascii="宋体" w:hAnsi="宋体" w:eastAsia="宋体" w:cs="宋体"/>
          <w:sz w:val="21"/>
          <w:szCs w:val="21"/>
        </w:rPr>
        <w:t>（公式</w:t>
      </w:r>
      <w:r>
        <w:rPr>
          <w:sz w:val="21"/>
          <w:szCs w:val="21"/>
        </w:rPr>
        <w:t>2</w:t>
      </w:r>
      <w:r>
        <w:rPr>
          <w:rFonts w:hint="eastAsia" w:ascii="宋体" w:hAnsi="宋体" w:eastAsia="宋体" w:cs="宋体"/>
          <w:sz w:val="21"/>
          <w:szCs w:val="21"/>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结论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20"/>
          <w:szCs w:val="20"/>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bCs/>
          <w:i w:val="0"/>
          <w:caps w:val="0"/>
          <w:color w:val="FF0000"/>
          <w:spacing w:val="0"/>
          <w:kern w:val="0"/>
          <w:sz w:val="20"/>
          <w:szCs w:val="20"/>
          <w:shd w:val="clear" w:fill="FFFFFF"/>
          <w:lang w:val="en-US" w:eastAsia="zh-CN" w:bidi="ar"/>
        </w:rPr>
        <w:t> 该部分是文章的最后总结，应该给出文章研究内容的科学结论、尚待解决的问题及今后进一步研究的建议。</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致谢 </w:t>
      </w:r>
      <w:r>
        <w:rPr>
          <w:rFonts w:hint="default" w:ascii="Times New Roman" w:hAnsi="Times New Roman" w:cs="Times New Roman" w:eastAsiaTheme="minorEastAsia"/>
          <w:b w:val="0"/>
          <w:bCs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致谢是必要的，对成果做出贡献的人应该得到书面感谢。</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参考文献</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作者应在自己的文章中,对国内同行已发表的相关论文,特别是近两年的研究成果给予充分反映。凡引用他人的资料须在正文内标注并在文后列出参考文献，前后一一对应。参考文献表只列出与本文有关的文献,应是作者直接阅读过的、最主要的、发表在公开出版物上的文献；非公开出版物作为脚注处理。引用他人未发表过的资料或数据，应征得有关方面的同意并加以说明。</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2" w:firstLineChars="200"/>
        <w:jc w:val="left"/>
        <w:textAlignment w:val="auto"/>
        <w:rPr>
          <w:rFonts w:hint="eastAsia" w:ascii="宋体" w:hAnsi="宋体" w:eastAsia="宋体" w:cs="宋体"/>
          <w:sz w:val="21"/>
          <w:szCs w:val="21"/>
          <w:lang w:eastAsia="zh-CN"/>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采用“著者-出版年制”，</w:t>
      </w:r>
      <w:r>
        <w:rPr>
          <w:rFonts w:ascii="Times New Roman" w:hAnsi="Times New Roman" w:eastAsia="宋体" w:cs="Times New Roman"/>
          <w:kern w:val="0"/>
          <w:sz w:val="21"/>
          <w:szCs w:val="21"/>
        </w:rPr>
        <w:t>不采用顺序编码制。</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ascii="Times New Roman" w:hAnsi="Times New Roman" w:eastAsia="宋体" w:cs="Times New Roman"/>
          <w:kern w:val="0"/>
          <w:sz w:val="21"/>
          <w:szCs w:val="21"/>
        </w:rPr>
      </w:pPr>
      <w:r>
        <w:rPr>
          <w:rFonts w:hint="eastAsia" w:ascii="宋体" w:hAnsi="宋体" w:eastAsia="宋体" w:cs="宋体"/>
          <w:sz w:val="21"/>
          <w:szCs w:val="21"/>
          <w:lang w:eastAsia="zh-CN"/>
        </w:rPr>
        <w:t>参考文献</w:t>
      </w:r>
      <w:r>
        <w:rPr>
          <w:rFonts w:ascii="Times New Roman" w:hAnsi="Times New Roman" w:eastAsia="宋体" w:cs="Times New Roman"/>
          <w:kern w:val="0"/>
          <w:sz w:val="21"/>
          <w:szCs w:val="21"/>
        </w:rPr>
        <w:t>在</w:t>
      </w:r>
      <w:r>
        <w:rPr>
          <w:rFonts w:hint="eastAsia" w:ascii="Times New Roman" w:hAnsi="Times New Roman" w:eastAsia="宋体" w:cs="Times New Roman"/>
          <w:kern w:val="0"/>
          <w:sz w:val="21"/>
          <w:szCs w:val="21"/>
          <w:lang w:eastAsia="zh-CN"/>
        </w:rPr>
        <w:t>正</w:t>
      </w:r>
      <w:r>
        <w:rPr>
          <w:rFonts w:ascii="Times New Roman" w:hAnsi="Times New Roman" w:eastAsia="宋体" w:cs="Times New Roman"/>
          <w:kern w:val="0"/>
          <w:sz w:val="21"/>
          <w:szCs w:val="21"/>
        </w:rPr>
        <w:t>文的相关引文后要以括号加著者出版年标注出来，</w:t>
      </w:r>
      <w:r>
        <w:rPr>
          <w:rFonts w:hint="eastAsia" w:ascii="宋体" w:hAnsi="宋体" w:eastAsia="宋体" w:cs="宋体"/>
          <w:sz w:val="21"/>
          <w:szCs w:val="21"/>
          <w:lang w:eastAsia="zh-CN"/>
        </w:rPr>
        <w:t>并保证</w:t>
      </w:r>
      <w:r>
        <w:rPr>
          <w:rFonts w:hint="eastAsia" w:ascii="宋体" w:hAnsi="宋体" w:eastAsia="宋体" w:cs="宋体"/>
          <w:sz w:val="21"/>
          <w:szCs w:val="21"/>
          <w:highlight w:val="yellow"/>
          <w:lang w:eastAsia="zh-CN"/>
        </w:rPr>
        <w:t>每一篇参考文献在正文中都被引用</w:t>
      </w:r>
      <w:r>
        <w:rPr>
          <w:rFonts w:hint="eastAsia" w:ascii="宋体" w:hAnsi="宋体" w:eastAsia="宋体" w:cs="宋体"/>
          <w:sz w:val="21"/>
          <w:szCs w:val="21"/>
          <w:lang w:eastAsia="zh-CN"/>
        </w:rPr>
        <w:t>。</w:t>
      </w:r>
      <w:r>
        <w:rPr>
          <w:rFonts w:ascii="Times New Roman" w:hAnsi="Times New Roman" w:eastAsia="宋体" w:cs="Times New Roman"/>
          <w:b/>
          <w:bCs/>
          <w:color w:val="FF0000"/>
          <w:kern w:val="0"/>
          <w:sz w:val="21"/>
          <w:szCs w:val="21"/>
        </w:rPr>
        <w:t>需注意：引文</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者1人写成 （ 张三，1986）</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者2人，写成 （ 张三和李四，1986）</w:t>
      </w:r>
      <w:r>
        <w:rPr>
          <w:rFonts w:hint="eastAsia" w:ascii="Times New Roman" w:hAnsi="Times New Roman" w:eastAsia="宋体" w:cs="Times New Roman"/>
          <w:b/>
          <w:bCs/>
          <w:color w:val="FF0000"/>
          <w:kern w:val="0"/>
          <w:sz w:val="21"/>
          <w:szCs w:val="21"/>
          <w:lang w:eastAsia="zh-CN"/>
        </w:rPr>
        <w:t>，其中欧美著者只需标注著者的姓，例如</w:t>
      </w:r>
      <w:r>
        <w:rPr>
          <w:rFonts w:hint="eastAsia" w:ascii="Times New Roman" w:hAnsi="Times New Roman" w:eastAsia="宋体" w:cs="Times New Roman"/>
          <w:b/>
          <w:bCs/>
          <w:color w:val="FF0000"/>
          <w:kern w:val="0"/>
          <w:sz w:val="21"/>
          <w:szCs w:val="21"/>
          <w:lang w:val="en-US" w:eastAsia="zh-CN"/>
        </w:rPr>
        <w:t xml:space="preserve"> （Retterer and Moritz</w:t>
      </w:r>
      <w:r>
        <w:rPr>
          <w:rFonts w:hint="eastAsia" w:ascii="Times New Roman" w:hAnsi="Times New Roman" w:eastAsia="宋体" w:cs="Times New Roman"/>
          <w:b/>
          <w:bCs/>
          <w:color w:val="FF0000"/>
          <w:kern w:val="0"/>
          <w:sz w:val="21"/>
          <w:szCs w:val="21"/>
          <w:lang w:eastAsia="zh-CN"/>
        </w:rPr>
        <w:t>et</w:t>
      </w:r>
      <w:r>
        <w:rPr>
          <w:rFonts w:hint="eastAsia" w:ascii="Times New Roman" w:hAnsi="Times New Roman" w:eastAsia="宋体" w:cs="Times New Roman"/>
          <w:b/>
          <w:bCs/>
          <w:color w:val="FF0000"/>
          <w:kern w:val="0"/>
          <w:sz w:val="21"/>
          <w:szCs w:val="21"/>
          <w:lang w:val="en-US" w:eastAsia="zh-CN"/>
        </w:rPr>
        <w:t>，1992）</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者3人及3人以上用 写成（张三等，1986）</w:t>
      </w:r>
      <w:r>
        <w:rPr>
          <w:rFonts w:hint="eastAsia" w:ascii="Times New Roman" w:hAnsi="Times New Roman" w:eastAsia="宋体" w:cs="Times New Roman"/>
          <w:b/>
          <w:bCs/>
          <w:color w:val="FF0000"/>
          <w:kern w:val="0"/>
          <w:sz w:val="21"/>
          <w:szCs w:val="21"/>
          <w:lang w:eastAsia="zh-CN"/>
        </w:rPr>
        <w:t>，其中欧美著者只需标注第一个著者的姓，其后附“et al</w:t>
      </w:r>
      <w:r>
        <w:rPr>
          <w:rFonts w:hint="eastAsia" w:ascii="Times New Roman" w:hAnsi="Times New Roman" w:eastAsia="宋体" w:cs="Times New Roman"/>
          <w:b/>
          <w:bCs/>
          <w:color w:val="FF0000"/>
          <w:kern w:val="0"/>
          <w:sz w:val="21"/>
          <w:szCs w:val="21"/>
          <w:lang w:val="en-US" w:eastAsia="zh-CN"/>
        </w:rPr>
        <w:t>.</w:t>
      </w:r>
      <w:r>
        <w:rPr>
          <w:rFonts w:hint="eastAsia" w:ascii="Times New Roman" w:hAnsi="Times New Roman" w:eastAsia="宋体" w:cs="Times New Roman"/>
          <w:b/>
          <w:bCs/>
          <w:color w:val="FF0000"/>
          <w:kern w:val="0"/>
          <w:sz w:val="21"/>
          <w:szCs w:val="21"/>
          <w:lang w:eastAsia="zh-CN"/>
        </w:rPr>
        <w:t>”，例如</w:t>
      </w:r>
      <w:r>
        <w:rPr>
          <w:rFonts w:hint="eastAsia" w:ascii="Times New Roman" w:hAnsi="Times New Roman" w:eastAsia="宋体" w:cs="Times New Roman"/>
          <w:b/>
          <w:bCs/>
          <w:color w:val="FF0000"/>
          <w:kern w:val="0"/>
          <w:sz w:val="21"/>
          <w:szCs w:val="21"/>
          <w:lang w:val="en-US" w:eastAsia="zh-CN"/>
        </w:rPr>
        <w:t xml:space="preserve"> （Retterer </w:t>
      </w:r>
      <w:r>
        <w:rPr>
          <w:rFonts w:hint="eastAsia" w:ascii="Times New Roman" w:hAnsi="Times New Roman" w:eastAsia="宋体" w:cs="Times New Roman"/>
          <w:b/>
          <w:bCs/>
          <w:color w:val="FF0000"/>
          <w:kern w:val="0"/>
          <w:sz w:val="21"/>
          <w:szCs w:val="21"/>
          <w:lang w:eastAsia="zh-CN"/>
        </w:rPr>
        <w:t>et al</w:t>
      </w:r>
      <w:r>
        <w:rPr>
          <w:rFonts w:hint="eastAsia" w:ascii="Times New Roman" w:hAnsi="Times New Roman" w:eastAsia="宋体" w:cs="Times New Roman"/>
          <w:b/>
          <w:bCs/>
          <w:color w:val="FF0000"/>
          <w:kern w:val="0"/>
          <w:sz w:val="21"/>
          <w:szCs w:val="21"/>
          <w:lang w:val="en-US" w:eastAsia="zh-CN"/>
        </w:rPr>
        <w:t>.，2005）</w:t>
      </w:r>
      <w:r>
        <w:rPr>
          <w:rFonts w:ascii="Times New Roman" w:hAnsi="Times New Roman" w:eastAsia="宋体" w:cs="Times New Roman"/>
          <w:kern w:val="0"/>
          <w:sz w:val="21"/>
          <w:szCs w:val="21"/>
        </w:rPr>
        <w:t>。</w:t>
      </w:r>
    </w:p>
    <w:p>
      <w:pPr>
        <w:widowControl/>
        <w:spacing w:line="400" w:lineRule="exact"/>
        <w:jc w:val="left"/>
        <w:rPr>
          <w:rFonts w:hint="eastAsia" w:ascii="Times New Roman" w:hAnsi="Times New Roman" w:eastAsia="宋体" w:cs="Times New Roman"/>
          <w:kern w:val="0"/>
          <w:sz w:val="21"/>
          <w:szCs w:val="21"/>
        </w:rPr>
      </w:pPr>
    </w:p>
    <w:p>
      <w:pPr>
        <w:widowControl/>
        <w:spacing w:line="400" w:lineRule="exact"/>
        <w:jc w:val="left"/>
        <w:rPr>
          <w:rFonts w:hint="eastAsia" w:ascii="Times New Roman" w:hAnsi="Times New Roman" w:eastAsia="宋体" w:cs="Times New Roman"/>
          <w:b/>
          <w:bCs/>
          <w:color w:val="FF0000"/>
          <w:kern w:val="0"/>
          <w:sz w:val="21"/>
          <w:szCs w:val="21"/>
        </w:rPr>
      </w:pPr>
      <w:r>
        <w:rPr>
          <w:rFonts w:hint="eastAsia" w:ascii="Times New Roman" w:hAnsi="Times New Roman" w:eastAsia="宋体" w:cs="Times New Roman"/>
          <w:b/>
          <w:bCs/>
          <w:color w:val="FF0000"/>
          <w:kern w:val="0"/>
          <w:sz w:val="21"/>
          <w:szCs w:val="21"/>
        </w:rPr>
        <w:t>著录同一著者在同一年出版的多篇文献时，出版年后应用小写字母 a，b，c，…区别。</w:t>
      </w:r>
    </w:p>
    <w:p>
      <w:pPr>
        <w:widowControl/>
        <w:spacing w:line="400" w:lineRule="exact"/>
        <w:jc w:val="left"/>
        <w:rPr>
          <w:rFonts w:hint="eastAsia" w:ascii="Times New Roman" w:hAnsi="Times New Roman" w:eastAsia="宋体" w:cs="Times New Roman"/>
          <w:kern w:val="0"/>
          <w:sz w:val="21"/>
          <w:szCs w:val="21"/>
        </w:rPr>
      </w:pPr>
      <w:r>
        <w:rPr>
          <w:rFonts w:ascii="Times New Roman" w:hAnsi="Times New Roman" w:eastAsia="宋体" w:cs="Times New Roman"/>
          <w:kern w:val="0"/>
          <w:sz w:val="21"/>
          <w:szCs w:val="21"/>
        </w:rPr>
        <w:t>例：</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rPr>
        <w:t>江思义, 吴福, 刘庆超, 李海良，吴莹莹.2019a. 广西桂林市规划中心城区岩溶发育特征及分布规律</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中国地质灾害与防治学报</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 xml:space="preserve"> 30</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6</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:120-128</w:t>
      </w:r>
      <w:r>
        <w:rPr>
          <w:rFonts w:hint="eastAsia" w:ascii="Times New Roman" w:hAnsi="Times New Roman" w:eastAsia="宋体" w:cs="Times New Roman"/>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rPr>
        <w:t>江思义, 吴福, 王启耀, 刘庆超，李海良.2019b. 岩溶地区地下空间开发适宜性评价—以桂林市规划中心城区为例</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桂林理工大学学报</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39</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5</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:402-409</w:t>
      </w:r>
      <w:r>
        <w:rPr>
          <w:rFonts w:hint="eastAsia" w:ascii="Times New Roman" w:hAnsi="Times New Roman" w:eastAsia="宋体" w:cs="Times New Roman"/>
          <w:kern w:val="0"/>
          <w:sz w:val="21"/>
          <w:szCs w:val="21"/>
          <w:lang w:val="en-US" w:eastAsia="zh-CN"/>
        </w:rPr>
        <w:t>.</w:t>
      </w:r>
    </w:p>
    <w:p>
      <w:pPr>
        <w:widowControl/>
        <w:spacing w:line="400" w:lineRule="exact"/>
        <w:jc w:val="left"/>
        <w:rPr>
          <w:rFonts w:ascii="Times New Roman" w:hAnsi="Times New Roman" w:eastAsia="宋体" w:cs="Times New Roman"/>
          <w:kern w:val="0"/>
          <w:sz w:val="21"/>
          <w:szCs w:val="21"/>
        </w:rPr>
      </w:pPr>
    </w:p>
    <w:p>
      <w:pPr>
        <w:widowControl/>
        <w:spacing w:line="400" w:lineRule="exact"/>
        <w:jc w:val="left"/>
        <w:rPr>
          <w:rFonts w:ascii="Times New Roman" w:hAnsi="Times New Roman" w:eastAsia="宋体" w:cs="Times New Roman"/>
          <w:b/>
          <w:bCs/>
          <w:color w:val="FF0000"/>
          <w:kern w:val="0"/>
          <w:sz w:val="21"/>
          <w:szCs w:val="21"/>
        </w:rPr>
      </w:pPr>
      <w:r>
        <w:rPr>
          <w:rFonts w:ascii="Times New Roman" w:hAnsi="Times New Roman" w:eastAsia="宋体" w:cs="Times New Roman"/>
          <w:b/>
          <w:bCs/>
          <w:color w:val="FF0000"/>
          <w:kern w:val="0"/>
          <w:sz w:val="21"/>
          <w:szCs w:val="21"/>
        </w:rPr>
        <w:t>参考文献格式示例如下:</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书籍要求：著者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.出版年.书名.版本(第1版不著录).出版地:出版者,起-止页.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期刊要求：著者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.出版年.文献题名.刊名,卷(期):起-止页.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会议录、论文集、论文汇编要求：著者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.出版年.题名. 见(In): 编者名(ed./eds.). 文集名. 会议名,会址,开会年. 出版地:出版者,起-止页.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例：</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黄世乾</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林富</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晏汝逊</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石铮.</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1986.</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大井锡—银—铜矿床及其成因[J].地质与勘探</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22</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6</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28-32.</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rPr>
        <w:t>Retterer J M, Decker D T, Borer W S, Daniell</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R</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E, Fejer</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B</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G. 2005. Assimilative modeling of the equatorial ionosphere for scintillation forecasting: Modeling with vertical drifts. J. Geophys. Res.</w:t>
      </w:r>
      <w:r>
        <w:rPr>
          <w:rFonts w:ascii="Times New Roman" w:hAnsi="Times New Roman" w:eastAsia="宋体" w:cs="Times New Roman"/>
          <w:kern w:val="0"/>
          <w:sz w:val="21"/>
          <w:szCs w:val="21"/>
        </w:rPr>
        <w:t>[J]</w:t>
      </w:r>
      <w:bookmarkStart w:id="0" w:name="_GoBack"/>
      <w:bookmarkEnd w:id="0"/>
      <w:r>
        <w:rPr>
          <w:rFonts w:hint="eastAsia" w:ascii="Times New Roman" w:hAnsi="Times New Roman" w:eastAsia="宋体" w:cs="Times New Roman"/>
          <w:kern w:val="0"/>
          <w:sz w:val="21"/>
          <w:szCs w:val="21"/>
        </w:rPr>
        <w:t>, 110(A11): 307</w:t>
      </w:r>
      <w:r>
        <w:rPr>
          <w:rFonts w:hint="eastAsia" w:ascii="Times New Roman" w:hAnsi="Times New Roman" w:eastAsia="宋体" w:cs="Times New Roman"/>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after="156" w:afterLines="50" w:line="400" w:lineRule="exact"/>
        <w:ind w:left="420" w:hanging="420" w:hangingChars="200"/>
        <w:jc w:val="left"/>
        <w:textAlignment w:val="auto"/>
        <w:rPr>
          <w:rFonts w:hint="eastAsia" w:ascii="宋体" w:hAnsi="宋体" w:eastAsia="宋体" w:cs="宋体"/>
          <w:sz w:val="21"/>
          <w:szCs w:val="21"/>
          <w:lang w:eastAsia="zh-CN"/>
        </w:rPr>
      </w:pPr>
      <w:r>
        <w:rPr>
          <w:rFonts w:ascii="Times New Roman" w:hAnsi="Times New Roman" w:eastAsia="宋体" w:cs="Times New Roman"/>
          <w:kern w:val="0"/>
          <w:sz w:val="21"/>
          <w:szCs w:val="21"/>
        </w:rPr>
        <w:t>权京玉</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2013</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松嫩地块东部新元古代-早古生代构造属性研究[D]</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长春</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吉林大学.</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左国朝</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何国琦. 1990.北山板块构造及成矿规律[M].北京</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北京大学出版社.</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Davis J C. 1984. Statistics and Data Analysis in Geology</w:t>
      </w:r>
      <w:r>
        <w:rPr>
          <w:rFonts w:ascii="Times New Roman" w:hAnsi="Times New Roman" w:eastAsia="宋体" w:cs="Times New Roman"/>
          <w:kern w:val="0"/>
          <w:sz w:val="21"/>
          <w:szCs w:val="21"/>
        </w:rPr>
        <w:t>[M]</w:t>
      </w:r>
      <w:r>
        <w:rPr>
          <w:rFonts w:hint="eastAsia" w:ascii="Times New Roman" w:hAnsi="Times New Roman" w:eastAsia="宋体" w:cs="Times New Roman"/>
          <w:kern w:val="0"/>
          <w:sz w:val="21"/>
          <w:szCs w:val="21"/>
        </w:rPr>
        <w:t>. New York: John Wiley.</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pP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993366"/>
          <w:spacing w:val="0"/>
          <w:kern w:val="0"/>
          <w:sz w:val="24"/>
          <w:szCs w:val="24"/>
          <w:shd w:val="clear" w:fill="FFFFFF"/>
          <w:lang w:val="en-US" w:eastAsia="zh-CN" w:bidi="ar"/>
        </w:rPr>
      </w:pP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30"/>
          <w:szCs w:val="3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4"/>
          <w:szCs w:val="24"/>
          <w:shd w:val="clear" w:fill="FFFFFF"/>
          <w:lang w:val="en-US" w:eastAsia="zh-CN" w:bidi="ar"/>
        </w:rPr>
        <w:t>英文标题   （居中）</w:t>
      </w:r>
    </w:p>
    <w:p>
      <w:pPr>
        <w:keepNext w:val="0"/>
        <w:keepLines w:val="0"/>
        <w:widowControl/>
        <w:suppressLineNumbers w:val="0"/>
        <w:shd w:val="clear" w:fill="FFFFFF"/>
        <w:ind w:left="0" w:firstLine="0"/>
        <w:jc w:val="center"/>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30"/>
          <w:szCs w:val="30"/>
          <w:shd w:val="clear" w:fill="FFFFFF"/>
          <w:lang w:val="en-US" w:eastAsia="zh-CN" w:bidi="ar"/>
        </w:rPr>
        <w:t>Composition of clinopyroxene from Niumaoquan Fe－Ti－V oxide</w:t>
      </w:r>
      <w:r>
        <w:rPr>
          <w:rStyle w:val="6"/>
          <w:rFonts w:hint="eastAsia" w:ascii="Times New Roman" w:hAnsi="Times New Roman" w:cs="Times New Roman"/>
          <w:i w:val="0"/>
          <w:caps w:val="0"/>
          <w:color w:val="000000"/>
          <w:spacing w:val="0"/>
          <w:kern w:val="0"/>
          <w:sz w:val="30"/>
          <w:szCs w:val="30"/>
          <w:shd w:val="clear" w:fill="FFFFFF"/>
          <w:lang w:val="en-US" w:eastAsia="zh-CN" w:bidi="ar"/>
        </w:rPr>
        <w:t xml:space="preserve"> </w:t>
      </w:r>
      <w:r>
        <w:rPr>
          <w:rStyle w:val="6"/>
          <w:rFonts w:hint="default" w:ascii="Times New Roman" w:hAnsi="Times New Roman" w:cs="Times New Roman" w:eastAsiaTheme="minorEastAsia"/>
          <w:i w:val="0"/>
          <w:caps w:val="0"/>
          <w:color w:val="000000"/>
          <w:spacing w:val="0"/>
          <w:kern w:val="0"/>
          <w:sz w:val="30"/>
          <w:szCs w:val="30"/>
          <w:shd w:val="clear" w:fill="FFFFFF"/>
          <w:lang w:val="en-US" w:eastAsia="zh-CN" w:bidi="ar"/>
        </w:rPr>
        <w:t>deposit，Eastern Tianshan，and its geological implications</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英文作者名（姓全大写，名首字母大写）</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SHI Yu</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1,2</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，WANG Yuwang</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，WANG Jingbin</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，LI Dedong</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ZHOU Guochao</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2</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，LONG Lingli</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，XIE Hongjing</w:t>
      </w: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1</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英文单位名称（给出作者单位的公开专用英文全称，避免自造名称）</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( 1</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xml:space="preserve">Beijing Institute of Geology for Mineral </w:t>
      </w:r>
      <w:r>
        <w:rPr>
          <w:rFonts w:hint="eastAsia" w:ascii="Times New Roman" w:hAnsi="Times New Roman" w:cs="Times New Roman"/>
          <w:i w:val="0"/>
          <w:caps w:val="0"/>
          <w:color w:val="000000"/>
          <w:spacing w:val="0"/>
          <w:kern w:val="0"/>
          <w:sz w:val="18"/>
          <w:szCs w:val="18"/>
          <w:shd w:val="clear" w:fill="FFFFFF"/>
          <w:lang w:val="en-US" w:eastAsia="zh-CN" w:bidi="ar"/>
        </w:rPr>
        <w:t>R</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esources，Beijing 100012;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School of Earth Sciences and Mineral Ｒesources，China University of Geosciences，Beijing 100083)</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英文摘要和关键词：（英文摘要一般与中文摘要对应，但内容可更加详细）</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Abstract</w:t>
      </w:r>
      <w:r>
        <w:rPr>
          <w:rFonts w:hint="eastAsia" w:ascii="Times New Roman" w:hAnsi="Times New Roman" w:cs="Times New Roman"/>
          <w:i w:val="0"/>
          <w:caps w:val="0"/>
          <w:color w:val="000000"/>
          <w:spacing w:val="0"/>
          <w:kern w:val="0"/>
          <w:sz w:val="20"/>
          <w:szCs w:val="20"/>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Keywords</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1</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3</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4</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5……</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pP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rPr>
          <w:rFonts w:hint="default" w:ascii="Times New Roman" w:hAnsi="Times New Roman" w:cs="Times New Roman" w:eastAsiaTheme="minor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ED483"/>
    <w:multiLevelType w:val="singleLevel"/>
    <w:tmpl w:val="8A3ED483"/>
    <w:lvl w:ilvl="0" w:tentative="0">
      <w:start w:val="1"/>
      <w:numFmt w:val="decimal"/>
      <w:lvlText w:val="%1."/>
      <w:lvlJc w:val="left"/>
      <w:pPr>
        <w:ind w:left="425" w:hanging="425"/>
      </w:pPr>
      <w:rPr>
        <w:rFonts w:hint="default"/>
      </w:rPr>
    </w:lvl>
  </w:abstractNum>
  <w:abstractNum w:abstractNumId="1">
    <w:nsid w:val="49601B97"/>
    <w:multiLevelType w:val="singleLevel"/>
    <w:tmpl w:val="49601B97"/>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9132B"/>
    <w:rsid w:val="023A2AC4"/>
    <w:rsid w:val="023F399C"/>
    <w:rsid w:val="036E5BC2"/>
    <w:rsid w:val="0417656E"/>
    <w:rsid w:val="0651586F"/>
    <w:rsid w:val="065B0D18"/>
    <w:rsid w:val="07130335"/>
    <w:rsid w:val="08592765"/>
    <w:rsid w:val="086A1686"/>
    <w:rsid w:val="08C2072C"/>
    <w:rsid w:val="0B626C69"/>
    <w:rsid w:val="0C114689"/>
    <w:rsid w:val="0DAE6D1D"/>
    <w:rsid w:val="0F257955"/>
    <w:rsid w:val="0F7F5856"/>
    <w:rsid w:val="12470A07"/>
    <w:rsid w:val="1284639B"/>
    <w:rsid w:val="15744C56"/>
    <w:rsid w:val="15AA1DF9"/>
    <w:rsid w:val="17BA7B51"/>
    <w:rsid w:val="18BF6B20"/>
    <w:rsid w:val="1AC536CC"/>
    <w:rsid w:val="1C732022"/>
    <w:rsid w:val="1DD97C45"/>
    <w:rsid w:val="1E4C3B44"/>
    <w:rsid w:val="1FEF23BB"/>
    <w:rsid w:val="2174135D"/>
    <w:rsid w:val="21916819"/>
    <w:rsid w:val="21FA6C57"/>
    <w:rsid w:val="23F469B9"/>
    <w:rsid w:val="24923CFA"/>
    <w:rsid w:val="24B462E7"/>
    <w:rsid w:val="24CE17D6"/>
    <w:rsid w:val="279F11C5"/>
    <w:rsid w:val="28A23580"/>
    <w:rsid w:val="28C011D2"/>
    <w:rsid w:val="29797340"/>
    <w:rsid w:val="2D292955"/>
    <w:rsid w:val="2D720AC8"/>
    <w:rsid w:val="2E6334D4"/>
    <w:rsid w:val="2F1C0369"/>
    <w:rsid w:val="2FCD1814"/>
    <w:rsid w:val="30122D5C"/>
    <w:rsid w:val="318A1669"/>
    <w:rsid w:val="322632C4"/>
    <w:rsid w:val="341B3512"/>
    <w:rsid w:val="36FB0175"/>
    <w:rsid w:val="37D103A1"/>
    <w:rsid w:val="37E723EC"/>
    <w:rsid w:val="37F67C2B"/>
    <w:rsid w:val="38E630C9"/>
    <w:rsid w:val="3B304A56"/>
    <w:rsid w:val="3B662DF7"/>
    <w:rsid w:val="3C9A4270"/>
    <w:rsid w:val="3D760556"/>
    <w:rsid w:val="4251527D"/>
    <w:rsid w:val="43F40693"/>
    <w:rsid w:val="43FC6426"/>
    <w:rsid w:val="444F62EE"/>
    <w:rsid w:val="449647C7"/>
    <w:rsid w:val="46875C7C"/>
    <w:rsid w:val="46E83CED"/>
    <w:rsid w:val="49040826"/>
    <w:rsid w:val="4A3A09F3"/>
    <w:rsid w:val="4A9811D0"/>
    <w:rsid w:val="4B5A3849"/>
    <w:rsid w:val="4B616F09"/>
    <w:rsid w:val="4C5E2074"/>
    <w:rsid w:val="4D115BF1"/>
    <w:rsid w:val="4F742DCE"/>
    <w:rsid w:val="501253E9"/>
    <w:rsid w:val="510F478F"/>
    <w:rsid w:val="51C47416"/>
    <w:rsid w:val="521077B1"/>
    <w:rsid w:val="53311DB1"/>
    <w:rsid w:val="54912339"/>
    <w:rsid w:val="55052EB7"/>
    <w:rsid w:val="5544481B"/>
    <w:rsid w:val="567C4BE0"/>
    <w:rsid w:val="56CF1781"/>
    <w:rsid w:val="58E07C97"/>
    <w:rsid w:val="58FB1E60"/>
    <w:rsid w:val="59C210F2"/>
    <w:rsid w:val="59C87303"/>
    <w:rsid w:val="5A971CF9"/>
    <w:rsid w:val="5FAF52B6"/>
    <w:rsid w:val="602920EF"/>
    <w:rsid w:val="604A5032"/>
    <w:rsid w:val="604C0654"/>
    <w:rsid w:val="60ED1B89"/>
    <w:rsid w:val="616E7886"/>
    <w:rsid w:val="620917EA"/>
    <w:rsid w:val="62637FB5"/>
    <w:rsid w:val="626E1AF1"/>
    <w:rsid w:val="632B1169"/>
    <w:rsid w:val="64CF037C"/>
    <w:rsid w:val="65440650"/>
    <w:rsid w:val="65687EBB"/>
    <w:rsid w:val="65B5139D"/>
    <w:rsid w:val="65E358C9"/>
    <w:rsid w:val="67133952"/>
    <w:rsid w:val="69E747DA"/>
    <w:rsid w:val="6A246F31"/>
    <w:rsid w:val="6B2122EC"/>
    <w:rsid w:val="6C064C7B"/>
    <w:rsid w:val="6C463F28"/>
    <w:rsid w:val="6CE6228B"/>
    <w:rsid w:val="6D983362"/>
    <w:rsid w:val="70581878"/>
    <w:rsid w:val="736224C8"/>
    <w:rsid w:val="740554C2"/>
    <w:rsid w:val="74644A11"/>
    <w:rsid w:val="75132D9A"/>
    <w:rsid w:val="75964745"/>
    <w:rsid w:val="761D079C"/>
    <w:rsid w:val="7C562BB8"/>
    <w:rsid w:val="7E5932A6"/>
    <w:rsid w:val="7F6C0DC3"/>
    <w:rsid w:val="7FDD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widowControl w:val="0"/>
      <w:spacing w:before="120" w:line="240" w:lineRule="auto"/>
      <w:outlineLvl w:val="1"/>
    </w:pPr>
    <w:rPr>
      <w:rFonts w:eastAsia="黑体"/>
      <w:b/>
      <w:bCs/>
      <w:color w:val="auto"/>
      <w:kern w:val="2"/>
      <w:sz w:val="28"/>
      <w:szCs w:val="32"/>
      <w:lang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2020-03-05T04:59:00Z</dcterms:created>
  <dc:creator>杨帝</dc:creator>
  <cp:lastModifiedBy>杨帝</cp:lastModifiedBy>
  <dcterms:modified xsi:type="dcterms:W3CDTF">2020-03-24T09:12:21Z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